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C0E39" w14:textId="7E5F8EF8" w:rsidR="00DF1D77" w:rsidRPr="00DF1D77" w:rsidRDefault="00A41BFB" w:rsidP="00DF1D77">
      <w:pPr>
        <w:rPr>
          <w:b/>
          <w:bCs/>
        </w:rPr>
      </w:pPr>
      <w:r>
        <w:rPr>
          <w:b/>
          <w:bCs/>
        </w:rPr>
        <w:t xml:space="preserve">Serie artikelen Jubeljaar 2025: </w:t>
      </w:r>
      <w:r w:rsidR="00DF1D77" w:rsidRPr="00DF1D77">
        <w:rPr>
          <w:b/>
          <w:bCs/>
        </w:rPr>
        <w:t>Wat zegt de paus over de aflaat in het Jubeljaar?</w:t>
      </w:r>
    </w:p>
    <w:p w14:paraId="73234CAC" w14:textId="77777777" w:rsidR="00DF1D77" w:rsidRPr="00DF1D77" w:rsidRDefault="00DF1D77" w:rsidP="00DF1D77">
      <w:pPr>
        <w:rPr>
          <w:b/>
          <w:bCs/>
        </w:rPr>
      </w:pPr>
      <w:r w:rsidRPr="00DF1D77">
        <w:rPr>
          <w:b/>
          <w:bCs/>
        </w:rPr>
        <w:t>Op 9 mei verscheen de bul van paus Franciscus voor het Jubeljaar 2025: ‘Spes non confundit’ (De hoop stelt niet teleur). De paus schrijft hierin onder meer over de aflaat die is verbonden aan het Jubeljaar.</w:t>
      </w:r>
    </w:p>
    <w:p w14:paraId="2C41525B" w14:textId="77777777" w:rsidR="00DF1D77" w:rsidRPr="00DF1D77" w:rsidRDefault="00DF1D77" w:rsidP="00DF1D77">
      <w:r w:rsidRPr="00DF1D77">
        <w:t>“De aflaat is een manier om de onbegrensde aard van Gods barmhartigheid te ontdekken”, schrijft paus Franciscus voor het Jubeljaar.</w:t>
      </w:r>
    </w:p>
    <w:p w14:paraId="610127E0" w14:textId="5A15AEA8" w:rsidR="00DF1D77" w:rsidRPr="00DF1D77" w:rsidRDefault="00DF1D77" w:rsidP="00DF1D77">
      <w:r w:rsidRPr="00DF1D77">
        <w:t xml:space="preserve">“Het sacrament van boete en verzoening verzekert ons dat God onze zonden wegveegt”, aldus de paus. Hij verwijst daarbij naar Psalm 103: “Niet naar onze schulden behandelt Hij ons, niet naar onze zonden </w:t>
      </w:r>
      <w:r w:rsidR="00AF2100">
        <w:t>vergeldt Hij ons</w:t>
      </w:r>
      <w:r w:rsidRPr="00DF1D77">
        <w:t>.” Paus Franciscus noemt het sacrament van boete en verzoening: “Een beslissende, essentiële en fundamentele stap op onze geloofsreis. Daar staan we de Heer toe onze zonden uit te wissen, onze harten te genezen, ons op te wekken, ons te omhelzen en ons zijn tedere en barmhartige gelaat te openbaren.” Hij roept op om de biecht niet te verwaarlozen, maar deze te herontdekken. Juist het Jubeljaar is daar een goed moment voor.</w:t>
      </w:r>
    </w:p>
    <w:p w14:paraId="0463ACC5" w14:textId="77777777" w:rsidR="00DF1D77" w:rsidRPr="00DF1D77" w:rsidRDefault="00DF1D77" w:rsidP="00DF1D77">
      <w:r w:rsidRPr="00DF1D77">
        <w:t>“Toch weten we uit persoonlijke ervaring dat elke zonde ‘haar sporen nalaat’. Zonde heeft gevolgen, niet alleen in de gevolgen van het kwaad dat we doen, maar ook innerlijk”, vervolgt de paus. “In onze mensheid, zwak en aangetrokken door het kwaad, blijven bepaalde restverschijnselen van de zonde achter. Deze worden weggenomen door de aflaat, altijd door de genade van Christus.”</w:t>
      </w:r>
    </w:p>
    <w:p w14:paraId="158B4199" w14:textId="77777777" w:rsidR="00DF5C3F" w:rsidRDefault="00DF1D77" w:rsidP="00DF1D77">
      <w:r w:rsidRPr="00DF1D77">
        <w:t>Paus Franciscus: “Deze ervaring van volledige vergeving kan niet anders dan ons hart en onze geest openen voor de noodzaak om op onze beurt anderen te vergeven. Vergeving verandert het verleden niet; het kan niet veranderen wat er in het verleden is gebeurd, maar het kan ons wel in staat stellen de toekomst te veranderen en een ander leven te leiden, vrij van woede, vijandigheid en wraakzucht. Vergeving maakt een betere toekomst mogelijk, die ons in staat stelt om met andere ogen naar het verleden te kijken, nu met meer serene ogen, ook al dragen we nog steeds de sporen van tranen uit het verleden.”</w:t>
      </w:r>
      <w:r w:rsidR="00F45743">
        <w:t xml:space="preserve"> </w:t>
      </w:r>
    </w:p>
    <w:p w14:paraId="1CBF9A26" w14:textId="2EFC0652" w:rsidR="00DF1D77" w:rsidRPr="00DF1D77" w:rsidRDefault="00DF1D77" w:rsidP="00DF1D77">
      <w:pPr>
        <w:rPr>
          <w:lang w:val="en-US"/>
        </w:rPr>
      </w:pPr>
      <w:r w:rsidRPr="00DF1D77">
        <w:rPr>
          <w:i/>
          <w:iCs/>
          <w:lang w:val="en-US"/>
        </w:rPr>
        <w:t>Bron: ‘Spes non confundit’ nr. 23</w:t>
      </w:r>
      <w:r w:rsidR="00DF5C3F">
        <w:rPr>
          <w:i/>
          <w:iCs/>
          <w:lang w:val="en-US"/>
        </w:rPr>
        <w:t>.</w:t>
      </w:r>
    </w:p>
    <w:p w14:paraId="63B3FD8A" w14:textId="77777777" w:rsidR="00F45743" w:rsidRPr="00F45743" w:rsidRDefault="00F45743" w:rsidP="00F45743">
      <w:pPr>
        <w:rPr>
          <w:b/>
          <w:bCs/>
        </w:rPr>
      </w:pPr>
      <w:r w:rsidRPr="00F45743">
        <w:rPr>
          <w:b/>
          <w:bCs/>
        </w:rPr>
        <w:t>Dit artikel is onderdeel van een reeks van vijf artikelen:</w:t>
      </w:r>
    </w:p>
    <w:p w14:paraId="0B127300" w14:textId="77777777" w:rsidR="00F45743" w:rsidRPr="00F45743" w:rsidRDefault="00F45743" w:rsidP="00F45743">
      <w:pPr>
        <w:numPr>
          <w:ilvl w:val="0"/>
          <w:numId w:val="2"/>
        </w:numPr>
        <w:spacing w:after="0"/>
        <w:ind w:left="641" w:hanging="357"/>
        <w:rPr>
          <w:i/>
          <w:iCs/>
        </w:rPr>
      </w:pPr>
      <w:r w:rsidRPr="00F45743">
        <w:rPr>
          <w:i/>
          <w:iCs/>
        </w:rPr>
        <w:t>Hoe wordt het Jubeljaar geopend?</w:t>
      </w:r>
    </w:p>
    <w:p w14:paraId="5DD26EA3" w14:textId="77777777" w:rsidR="00F45743" w:rsidRPr="00F45743" w:rsidRDefault="00F45743" w:rsidP="00F45743">
      <w:pPr>
        <w:numPr>
          <w:ilvl w:val="0"/>
          <w:numId w:val="2"/>
        </w:numPr>
        <w:spacing w:after="0"/>
        <w:ind w:left="641" w:hanging="357"/>
      </w:pPr>
      <w:r w:rsidRPr="00F45743">
        <w:t>Het begin van Jubeljaren in de Kerk</w:t>
      </w:r>
    </w:p>
    <w:p w14:paraId="6CEB406C" w14:textId="77777777" w:rsidR="00F45743" w:rsidRPr="00F45743" w:rsidRDefault="00F45743" w:rsidP="00F45743">
      <w:pPr>
        <w:numPr>
          <w:ilvl w:val="0"/>
          <w:numId w:val="2"/>
        </w:numPr>
        <w:spacing w:after="0"/>
        <w:ind w:left="641" w:hanging="357"/>
      </w:pPr>
      <w:r w:rsidRPr="00F45743">
        <w:t>Wat zegt de paus over hoop in het Jubeljaar?</w:t>
      </w:r>
    </w:p>
    <w:p w14:paraId="18136DF1" w14:textId="77777777" w:rsidR="00F45743" w:rsidRPr="00F45743" w:rsidRDefault="00F45743" w:rsidP="00F45743">
      <w:pPr>
        <w:numPr>
          <w:ilvl w:val="0"/>
          <w:numId w:val="2"/>
        </w:numPr>
        <w:spacing w:after="0"/>
        <w:ind w:left="641" w:hanging="357"/>
      </w:pPr>
      <w:r w:rsidRPr="00F45743">
        <w:t>Wat zegt de paus over de aflaat in het Jubeljaar?</w:t>
      </w:r>
    </w:p>
    <w:p w14:paraId="4D6F55DE" w14:textId="638FC976" w:rsidR="00F45743" w:rsidRPr="00F45743" w:rsidRDefault="00F45743" w:rsidP="00F052CB">
      <w:pPr>
        <w:numPr>
          <w:ilvl w:val="0"/>
          <w:numId w:val="2"/>
        </w:numPr>
        <w:spacing w:after="0"/>
        <w:ind w:left="641" w:hanging="357"/>
      </w:pPr>
      <w:r w:rsidRPr="00F45743">
        <w:t>Hoe vieren we het Jubeljaar?</w:t>
      </w:r>
    </w:p>
    <w:p w14:paraId="433E0EA0" w14:textId="07892002" w:rsidR="00F45743" w:rsidRPr="00F45743" w:rsidRDefault="00F45743" w:rsidP="00F45743">
      <w:r w:rsidRPr="00F45743">
        <w:lastRenderedPageBreak/>
        <w:drawing>
          <wp:inline distT="0" distB="0" distL="0" distR="0" wp14:anchorId="6961B044" wp14:editId="030F930E">
            <wp:extent cx="5243195" cy="951230"/>
            <wp:effectExtent l="0" t="0" r="0" b="1270"/>
            <wp:docPr id="692430532" name="Afbeelding 2" descr="Afbeelding met tekst, grafische vormgeving,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grafische vormgeving, Lettertype, Graphic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3195" cy="951230"/>
                    </a:xfrm>
                    <a:prstGeom prst="rect">
                      <a:avLst/>
                    </a:prstGeom>
                    <a:noFill/>
                    <a:ln>
                      <a:noFill/>
                    </a:ln>
                  </pic:spPr>
                </pic:pic>
              </a:graphicData>
            </a:graphic>
          </wp:inline>
        </w:drawing>
      </w:r>
    </w:p>
    <w:p w14:paraId="3EC3D5F5" w14:textId="77777777" w:rsidR="00F45743" w:rsidRPr="00F45743" w:rsidRDefault="00F45743" w:rsidP="00F45743">
      <w:r w:rsidRPr="00F45743">
        <w:rPr>
          <w:b/>
          <w:bCs/>
          <w:i/>
          <w:iCs/>
        </w:rPr>
        <w:t xml:space="preserve">Kijk voor meer informatie ook op </w:t>
      </w:r>
      <w:hyperlink r:id="rId6" w:history="1">
        <w:r w:rsidRPr="00F45743">
          <w:rPr>
            <w:rStyle w:val="Hyperlink"/>
            <w:b/>
            <w:bCs/>
            <w:i/>
            <w:iCs/>
          </w:rPr>
          <w:t>www.katholiekleven.nl</w:t>
        </w:r>
      </w:hyperlink>
      <w:r w:rsidRPr="00F45743">
        <w:rPr>
          <w:b/>
          <w:bCs/>
          <w:i/>
          <w:iCs/>
        </w:rPr>
        <w:t xml:space="preserve">, </w:t>
      </w:r>
      <w:hyperlink r:id="rId7" w:history="1">
        <w:r w:rsidRPr="00F45743">
          <w:rPr>
            <w:rStyle w:val="Hyperlink"/>
            <w:b/>
            <w:bCs/>
            <w:i/>
            <w:iCs/>
          </w:rPr>
          <w:t>www.rkkerk.nl</w:t>
        </w:r>
      </w:hyperlink>
      <w:r w:rsidRPr="00F45743">
        <w:rPr>
          <w:b/>
          <w:bCs/>
          <w:i/>
          <w:iCs/>
        </w:rPr>
        <w:t xml:space="preserve"> en </w:t>
      </w:r>
      <w:hyperlink r:id="rId8" w:history="1">
        <w:r w:rsidRPr="00F45743">
          <w:rPr>
            <w:rStyle w:val="Hyperlink"/>
            <w:b/>
            <w:bCs/>
            <w:i/>
            <w:iCs/>
          </w:rPr>
          <w:t>www.jubeljaar2025.nl</w:t>
        </w:r>
      </w:hyperlink>
      <w:r w:rsidRPr="00F45743">
        <w:rPr>
          <w:b/>
          <w:bCs/>
          <w:i/>
          <w:iCs/>
        </w:rPr>
        <w:t xml:space="preserve">.  </w:t>
      </w:r>
    </w:p>
    <w:p w14:paraId="79F3FCEE" w14:textId="77777777" w:rsidR="00F45743" w:rsidRPr="00F45743" w:rsidRDefault="00F45743" w:rsidP="00F45743"/>
    <w:p w14:paraId="2E964A51" w14:textId="77777777" w:rsidR="00DF1D77" w:rsidRPr="00F45743" w:rsidRDefault="00DF1D77"/>
    <w:sectPr w:rsidR="00DF1D77" w:rsidRPr="00F457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72309"/>
    <w:multiLevelType w:val="multilevel"/>
    <w:tmpl w:val="6F8E31D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79824FBC"/>
    <w:multiLevelType w:val="multilevel"/>
    <w:tmpl w:val="5350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1440117">
    <w:abstractNumId w:val="1"/>
  </w:num>
  <w:num w:numId="2" w16cid:durableId="162080167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77"/>
    <w:rsid w:val="004730CF"/>
    <w:rsid w:val="004B1848"/>
    <w:rsid w:val="00A41BFB"/>
    <w:rsid w:val="00AF2100"/>
    <w:rsid w:val="00DF1D77"/>
    <w:rsid w:val="00DF5C3F"/>
    <w:rsid w:val="00F45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9DA1"/>
  <w15:chartTrackingRefBased/>
  <w15:docId w15:val="{F6AAC5F2-3836-4D4C-8F57-52140B8C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1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1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1D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1D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1D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1D7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1D7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1D7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1D7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1D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1D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1D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1D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1D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1D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1D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1D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1D77"/>
    <w:rPr>
      <w:rFonts w:eastAsiaTheme="majorEastAsia" w:cstheme="majorBidi"/>
      <w:color w:val="272727" w:themeColor="text1" w:themeTint="D8"/>
    </w:rPr>
  </w:style>
  <w:style w:type="paragraph" w:styleId="Titel">
    <w:name w:val="Title"/>
    <w:basedOn w:val="Standaard"/>
    <w:next w:val="Standaard"/>
    <w:link w:val="TitelChar"/>
    <w:uiPriority w:val="10"/>
    <w:qFormat/>
    <w:rsid w:val="00DF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1D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1D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1D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1D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1D77"/>
    <w:rPr>
      <w:i/>
      <w:iCs/>
      <w:color w:val="404040" w:themeColor="text1" w:themeTint="BF"/>
    </w:rPr>
  </w:style>
  <w:style w:type="paragraph" w:styleId="Lijstalinea">
    <w:name w:val="List Paragraph"/>
    <w:basedOn w:val="Standaard"/>
    <w:uiPriority w:val="34"/>
    <w:qFormat/>
    <w:rsid w:val="00DF1D77"/>
    <w:pPr>
      <w:ind w:left="720"/>
      <w:contextualSpacing/>
    </w:pPr>
  </w:style>
  <w:style w:type="character" w:styleId="Intensievebenadrukking">
    <w:name w:val="Intense Emphasis"/>
    <w:basedOn w:val="Standaardalinea-lettertype"/>
    <w:uiPriority w:val="21"/>
    <w:qFormat/>
    <w:rsid w:val="00DF1D77"/>
    <w:rPr>
      <w:i/>
      <w:iCs/>
      <w:color w:val="0F4761" w:themeColor="accent1" w:themeShade="BF"/>
    </w:rPr>
  </w:style>
  <w:style w:type="paragraph" w:styleId="Duidelijkcitaat">
    <w:name w:val="Intense Quote"/>
    <w:basedOn w:val="Standaard"/>
    <w:next w:val="Standaard"/>
    <w:link w:val="DuidelijkcitaatChar"/>
    <w:uiPriority w:val="30"/>
    <w:qFormat/>
    <w:rsid w:val="00DF1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1D77"/>
    <w:rPr>
      <w:i/>
      <w:iCs/>
      <w:color w:val="0F4761" w:themeColor="accent1" w:themeShade="BF"/>
    </w:rPr>
  </w:style>
  <w:style w:type="character" w:styleId="Intensieveverwijzing">
    <w:name w:val="Intense Reference"/>
    <w:basedOn w:val="Standaardalinea-lettertype"/>
    <w:uiPriority w:val="32"/>
    <w:qFormat/>
    <w:rsid w:val="00DF1D77"/>
    <w:rPr>
      <w:b/>
      <w:bCs/>
      <w:smallCaps/>
      <w:color w:val="0F4761" w:themeColor="accent1" w:themeShade="BF"/>
      <w:spacing w:val="5"/>
    </w:rPr>
  </w:style>
  <w:style w:type="character" w:styleId="Hyperlink">
    <w:name w:val="Hyperlink"/>
    <w:basedOn w:val="Standaardalinea-lettertype"/>
    <w:uiPriority w:val="99"/>
    <w:unhideWhenUsed/>
    <w:rsid w:val="00DF1D77"/>
    <w:rPr>
      <w:color w:val="467886" w:themeColor="hyperlink"/>
      <w:u w:val="single"/>
    </w:rPr>
  </w:style>
  <w:style w:type="character" w:styleId="Onopgelostemelding">
    <w:name w:val="Unresolved Mention"/>
    <w:basedOn w:val="Standaardalinea-lettertype"/>
    <w:uiPriority w:val="99"/>
    <w:semiHidden/>
    <w:unhideWhenUsed/>
    <w:rsid w:val="00DF1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50899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00">
          <w:marLeft w:val="0"/>
          <w:marRight w:val="0"/>
          <w:marTop w:val="0"/>
          <w:marBottom w:val="0"/>
          <w:divBdr>
            <w:top w:val="none" w:sz="0" w:space="0" w:color="auto"/>
            <w:left w:val="none" w:sz="0" w:space="0" w:color="auto"/>
            <w:bottom w:val="none" w:sz="0" w:space="0" w:color="auto"/>
            <w:right w:val="none" w:sz="0" w:space="0" w:color="auto"/>
          </w:divBdr>
          <w:divsChild>
            <w:div w:id="678580965">
              <w:marLeft w:val="-225"/>
              <w:marRight w:val="-225"/>
              <w:marTop w:val="0"/>
              <w:marBottom w:val="0"/>
              <w:divBdr>
                <w:top w:val="none" w:sz="0" w:space="0" w:color="auto"/>
                <w:left w:val="none" w:sz="0" w:space="0" w:color="auto"/>
                <w:bottom w:val="none" w:sz="0" w:space="0" w:color="auto"/>
                <w:right w:val="none" w:sz="0" w:space="0" w:color="auto"/>
              </w:divBdr>
              <w:divsChild>
                <w:div w:id="288244154">
                  <w:marLeft w:val="2925"/>
                  <w:marRight w:val="0"/>
                  <w:marTop w:val="0"/>
                  <w:marBottom w:val="0"/>
                  <w:divBdr>
                    <w:top w:val="none" w:sz="0" w:space="0" w:color="auto"/>
                    <w:left w:val="none" w:sz="0" w:space="0" w:color="auto"/>
                    <w:bottom w:val="none" w:sz="0" w:space="0" w:color="auto"/>
                    <w:right w:val="none" w:sz="0" w:space="0" w:color="auto"/>
                  </w:divBdr>
                  <w:divsChild>
                    <w:div w:id="440682123">
                      <w:marLeft w:val="0"/>
                      <w:marRight w:val="0"/>
                      <w:marTop w:val="0"/>
                      <w:marBottom w:val="0"/>
                      <w:divBdr>
                        <w:top w:val="none" w:sz="0" w:space="0" w:color="auto"/>
                        <w:left w:val="none" w:sz="0" w:space="0" w:color="auto"/>
                        <w:bottom w:val="none" w:sz="0" w:space="0" w:color="auto"/>
                        <w:right w:val="none" w:sz="0" w:space="0" w:color="auto"/>
                      </w:divBdr>
                    </w:div>
                    <w:div w:id="251623029">
                      <w:marLeft w:val="0"/>
                      <w:marRight w:val="0"/>
                      <w:marTop w:val="300"/>
                      <w:marBottom w:val="0"/>
                      <w:divBdr>
                        <w:top w:val="none" w:sz="0" w:space="0" w:color="auto"/>
                        <w:left w:val="none" w:sz="0" w:space="0" w:color="auto"/>
                        <w:bottom w:val="none" w:sz="0" w:space="0" w:color="auto"/>
                        <w:right w:val="none" w:sz="0" w:space="0" w:color="auto"/>
                      </w:divBdr>
                      <w:divsChild>
                        <w:div w:id="1509446912">
                          <w:marLeft w:val="0"/>
                          <w:marRight w:val="0"/>
                          <w:marTop w:val="0"/>
                          <w:marBottom w:val="0"/>
                          <w:divBdr>
                            <w:top w:val="none" w:sz="0" w:space="0" w:color="auto"/>
                            <w:left w:val="none" w:sz="0" w:space="0" w:color="auto"/>
                            <w:bottom w:val="none" w:sz="0" w:space="0" w:color="auto"/>
                            <w:right w:val="none" w:sz="0" w:space="0" w:color="auto"/>
                          </w:divBdr>
                        </w:div>
                        <w:div w:id="1985695202">
                          <w:marLeft w:val="0"/>
                          <w:marRight w:val="0"/>
                          <w:marTop w:val="0"/>
                          <w:marBottom w:val="0"/>
                          <w:divBdr>
                            <w:top w:val="none" w:sz="0" w:space="0" w:color="auto"/>
                            <w:left w:val="none" w:sz="0" w:space="0" w:color="auto"/>
                            <w:bottom w:val="none" w:sz="0" w:space="0" w:color="auto"/>
                            <w:right w:val="none" w:sz="0" w:space="0" w:color="auto"/>
                          </w:divBdr>
                        </w:div>
                        <w:div w:id="892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9525">
          <w:marLeft w:val="0"/>
          <w:marRight w:val="0"/>
          <w:marTop w:val="0"/>
          <w:marBottom w:val="0"/>
          <w:divBdr>
            <w:top w:val="none" w:sz="0" w:space="0" w:color="auto"/>
            <w:left w:val="none" w:sz="0" w:space="0" w:color="auto"/>
            <w:bottom w:val="none" w:sz="0" w:space="0" w:color="auto"/>
            <w:right w:val="none" w:sz="0" w:space="0" w:color="auto"/>
          </w:divBdr>
          <w:divsChild>
            <w:div w:id="430711725">
              <w:marLeft w:val="-225"/>
              <w:marRight w:val="-225"/>
              <w:marTop w:val="0"/>
              <w:marBottom w:val="0"/>
              <w:divBdr>
                <w:top w:val="none" w:sz="0" w:space="0" w:color="auto"/>
                <w:left w:val="none" w:sz="0" w:space="0" w:color="auto"/>
                <w:bottom w:val="none" w:sz="0" w:space="0" w:color="auto"/>
                <w:right w:val="none" w:sz="0" w:space="0" w:color="auto"/>
              </w:divBdr>
              <w:divsChild>
                <w:div w:id="863521208">
                  <w:marLeft w:val="0"/>
                  <w:marRight w:val="0"/>
                  <w:marTop w:val="0"/>
                  <w:marBottom w:val="0"/>
                  <w:divBdr>
                    <w:top w:val="none" w:sz="0" w:space="0" w:color="auto"/>
                    <w:left w:val="none" w:sz="0" w:space="0" w:color="auto"/>
                    <w:bottom w:val="none" w:sz="0" w:space="0" w:color="auto"/>
                    <w:right w:val="none" w:sz="0" w:space="0" w:color="auto"/>
                  </w:divBdr>
                  <w:divsChild>
                    <w:div w:id="630521964">
                      <w:marLeft w:val="0"/>
                      <w:marRight w:val="0"/>
                      <w:marTop w:val="1800"/>
                      <w:marBottom w:val="0"/>
                      <w:divBdr>
                        <w:top w:val="none" w:sz="0" w:space="0" w:color="auto"/>
                        <w:left w:val="none" w:sz="0" w:space="0" w:color="auto"/>
                        <w:bottom w:val="none" w:sz="0" w:space="0" w:color="auto"/>
                        <w:right w:val="none" w:sz="0" w:space="0" w:color="auto"/>
                      </w:divBdr>
                      <w:divsChild>
                        <w:div w:id="770855325">
                          <w:marLeft w:val="0"/>
                          <w:marRight w:val="0"/>
                          <w:marTop w:val="0"/>
                          <w:marBottom w:val="0"/>
                          <w:divBdr>
                            <w:top w:val="none" w:sz="0" w:space="0" w:color="auto"/>
                            <w:left w:val="none" w:sz="0" w:space="0" w:color="auto"/>
                            <w:bottom w:val="none" w:sz="0" w:space="0" w:color="auto"/>
                            <w:right w:val="none" w:sz="0" w:space="0" w:color="auto"/>
                          </w:divBdr>
                          <w:divsChild>
                            <w:div w:id="1989820378">
                              <w:marLeft w:val="1200"/>
                              <w:marRight w:val="750"/>
                              <w:marTop w:val="1200"/>
                              <w:marBottom w:val="1200"/>
                              <w:divBdr>
                                <w:top w:val="none" w:sz="0" w:space="0" w:color="auto"/>
                                <w:left w:val="none" w:sz="0" w:space="0" w:color="auto"/>
                                <w:bottom w:val="none" w:sz="0" w:space="0" w:color="auto"/>
                                <w:right w:val="none" w:sz="0" w:space="0" w:color="auto"/>
                              </w:divBdr>
                            </w:div>
                          </w:divsChild>
                        </w:div>
                      </w:divsChild>
                    </w:div>
                  </w:divsChild>
                </w:div>
                <w:div w:id="473182963">
                  <w:marLeft w:val="0"/>
                  <w:marRight w:val="0"/>
                  <w:marTop w:val="0"/>
                  <w:marBottom w:val="0"/>
                  <w:divBdr>
                    <w:top w:val="none" w:sz="0" w:space="0" w:color="auto"/>
                    <w:left w:val="none" w:sz="0" w:space="0" w:color="auto"/>
                    <w:bottom w:val="none" w:sz="0" w:space="0" w:color="auto"/>
                    <w:right w:val="none" w:sz="0" w:space="0" w:color="auto"/>
                  </w:divBdr>
                  <w:divsChild>
                    <w:div w:id="1476292263">
                      <w:marLeft w:val="0"/>
                      <w:marRight w:val="0"/>
                      <w:marTop w:val="0"/>
                      <w:marBottom w:val="0"/>
                      <w:divBdr>
                        <w:top w:val="none" w:sz="0" w:space="0" w:color="auto"/>
                        <w:left w:val="none" w:sz="0" w:space="0" w:color="auto"/>
                        <w:bottom w:val="none" w:sz="0" w:space="0" w:color="auto"/>
                        <w:right w:val="none" w:sz="0" w:space="0" w:color="auto"/>
                      </w:divBdr>
                      <w:divsChild>
                        <w:div w:id="359204068">
                          <w:marLeft w:val="-225"/>
                          <w:marRight w:val="-225"/>
                          <w:marTop w:val="0"/>
                          <w:marBottom w:val="0"/>
                          <w:divBdr>
                            <w:top w:val="none" w:sz="0" w:space="0" w:color="auto"/>
                            <w:left w:val="none" w:sz="0" w:space="0" w:color="auto"/>
                            <w:bottom w:val="none" w:sz="0" w:space="0" w:color="auto"/>
                            <w:right w:val="none" w:sz="0" w:space="0" w:color="auto"/>
                          </w:divBdr>
                          <w:divsChild>
                            <w:div w:id="1352682969">
                              <w:marLeft w:val="2438"/>
                              <w:marRight w:val="0"/>
                              <w:marTop w:val="0"/>
                              <w:marBottom w:val="0"/>
                              <w:divBdr>
                                <w:top w:val="none" w:sz="0" w:space="0" w:color="auto"/>
                                <w:left w:val="none" w:sz="0" w:space="0" w:color="auto"/>
                                <w:bottom w:val="none" w:sz="0" w:space="0" w:color="auto"/>
                                <w:right w:val="none" w:sz="0" w:space="0" w:color="auto"/>
                              </w:divBdr>
                              <w:divsChild>
                                <w:div w:id="962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894">
                          <w:marLeft w:val="0"/>
                          <w:marRight w:val="0"/>
                          <w:marTop w:val="0"/>
                          <w:marBottom w:val="0"/>
                          <w:divBdr>
                            <w:top w:val="none" w:sz="0" w:space="0" w:color="auto"/>
                            <w:left w:val="none" w:sz="0" w:space="0" w:color="auto"/>
                            <w:bottom w:val="none" w:sz="0" w:space="0" w:color="auto"/>
                            <w:right w:val="none" w:sz="0" w:space="0" w:color="auto"/>
                          </w:divBdr>
                          <w:divsChild>
                            <w:div w:id="1390306673">
                              <w:marLeft w:val="0"/>
                              <w:marRight w:val="0"/>
                              <w:marTop w:val="0"/>
                              <w:marBottom w:val="0"/>
                              <w:divBdr>
                                <w:top w:val="none" w:sz="0" w:space="0" w:color="auto"/>
                                <w:left w:val="none" w:sz="0" w:space="0" w:color="auto"/>
                                <w:bottom w:val="none" w:sz="0" w:space="0" w:color="auto"/>
                                <w:right w:val="none" w:sz="0" w:space="0" w:color="auto"/>
                              </w:divBdr>
                              <w:divsChild>
                                <w:div w:id="854267587">
                                  <w:marLeft w:val="0"/>
                                  <w:marRight w:val="0"/>
                                  <w:marTop w:val="750"/>
                                  <w:marBottom w:val="750"/>
                                  <w:divBdr>
                                    <w:top w:val="none" w:sz="0" w:space="0" w:color="auto"/>
                                    <w:left w:val="none" w:sz="0" w:space="0" w:color="auto"/>
                                    <w:bottom w:val="none" w:sz="0" w:space="0" w:color="auto"/>
                                    <w:right w:val="none" w:sz="0" w:space="0" w:color="auto"/>
                                  </w:divBdr>
                                  <w:divsChild>
                                    <w:div w:id="1195266829">
                                      <w:marLeft w:val="-225"/>
                                      <w:marRight w:val="-225"/>
                                      <w:marTop w:val="0"/>
                                      <w:marBottom w:val="0"/>
                                      <w:divBdr>
                                        <w:top w:val="none" w:sz="0" w:space="0" w:color="auto"/>
                                        <w:left w:val="none" w:sz="0" w:space="0" w:color="auto"/>
                                        <w:bottom w:val="none" w:sz="0" w:space="0" w:color="auto"/>
                                        <w:right w:val="none" w:sz="0" w:space="0" w:color="auto"/>
                                      </w:divBdr>
                                      <w:divsChild>
                                        <w:div w:id="365713015">
                                          <w:marLeft w:val="2438"/>
                                          <w:marRight w:val="0"/>
                                          <w:marTop w:val="0"/>
                                          <w:marBottom w:val="0"/>
                                          <w:divBdr>
                                            <w:top w:val="none" w:sz="0" w:space="0" w:color="auto"/>
                                            <w:left w:val="none" w:sz="0" w:space="0" w:color="auto"/>
                                            <w:bottom w:val="none" w:sz="0" w:space="0" w:color="auto"/>
                                            <w:right w:val="none" w:sz="0" w:space="0" w:color="auto"/>
                                          </w:divBdr>
                                          <w:divsChild>
                                            <w:div w:id="4571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8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beljaar2025.nl" TargetMode="External"/><Relationship Id="rId3" Type="http://schemas.openxmlformats.org/officeDocument/2006/relationships/settings" Target="settings.xml"/><Relationship Id="rId7" Type="http://schemas.openxmlformats.org/officeDocument/2006/relationships/hyperlink" Target="http://www.rkker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tholiekleven.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394</Words>
  <Characters>2173</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Kruse</dc:creator>
  <cp:keywords/>
  <dc:description/>
  <cp:lastModifiedBy>Anna Kruse</cp:lastModifiedBy>
  <cp:revision>7</cp:revision>
  <dcterms:created xsi:type="dcterms:W3CDTF">2024-06-21T14:00:00Z</dcterms:created>
  <dcterms:modified xsi:type="dcterms:W3CDTF">2024-06-21T14:23:00Z</dcterms:modified>
</cp:coreProperties>
</file>