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8A" w:rsidRPr="00227E0A" w:rsidRDefault="000E7E8A" w:rsidP="00BB6FA0">
      <w:pPr>
        <w:jc w:val="both"/>
        <w:rPr>
          <w:rFonts w:ascii="Arial" w:hAnsi="Arial" w:cs="Arial"/>
          <w:b/>
        </w:rPr>
      </w:pPr>
      <w:r w:rsidRPr="00227E0A">
        <w:rPr>
          <w:rFonts w:ascii="Arial" w:hAnsi="Arial" w:cs="Arial"/>
          <w:b/>
        </w:rPr>
        <w:t>Pasen in het Jaar van het Geloof</w:t>
      </w:r>
    </w:p>
    <w:p w:rsidR="000E7E8A" w:rsidRPr="00743299" w:rsidRDefault="000E7E8A" w:rsidP="00BB6FA0">
      <w:pPr>
        <w:jc w:val="both"/>
        <w:rPr>
          <w:rFonts w:ascii="Arial" w:hAnsi="Arial" w:cs="Arial"/>
          <w:i/>
          <w:sz w:val="20"/>
          <w:szCs w:val="20"/>
        </w:rPr>
      </w:pPr>
      <w:r w:rsidRPr="00743299">
        <w:rPr>
          <w:rFonts w:ascii="Arial" w:hAnsi="Arial" w:cs="Arial"/>
          <w:i/>
          <w:sz w:val="20"/>
          <w:szCs w:val="20"/>
        </w:rPr>
        <w:t xml:space="preserve">Vastenbrief 2013 Nederlandse bisschoppen </w:t>
      </w:r>
      <w:bookmarkStart w:id="0" w:name="_GoBack"/>
      <w:bookmarkEnd w:id="0"/>
    </w:p>
    <w:p w:rsidR="000E7E8A" w:rsidRPr="002155DB" w:rsidRDefault="000E7E8A" w:rsidP="00BB6FA0">
      <w:pPr>
        <w:jc w:val="both"/>
        <w:rPr>
          <w:rFonts w:ascii="Arial" w:hAnsi="Arial" w:cs="Arial"/>
        </w:rPr>
      </w:pPr>
    </w:p>
    <w:p w:rsidR="000E7E8A" w:rsidRPr="002155DB" w:rsidRDefault="000E7E8A" w:rsidP="00BB6FA0">
      <w:pPr>
        <w:jc w:val="both"/>
        <w:rPr>
          <w:rFonts w:ascii="Arial" w:hAnsi="Arial" w:cs="Arial"/>
        </w:rPr>
      </w:pPr>
    </w:p>
    <w:p w:rsidR="000E7E8A" w:rsidRPr="002155DB" w:rsidRDefault="000E7E8A" w:rsidP="00BB6FA0">
      <w:pPr>
        <w:jc w:val="both"/>
        <w:rPr>
          <w:rFonts w:ascii="Arial" w:hAnsi="Arial" w:cs="Arial"/>
          <w:b/>
          <w:i/>
          <w:sz w:val="20"/>
          <w:szCs w:val="20"/>
        </w:rPr>
      </w:pPr>
      <w:r w:rsidRPr="002155DB">
        <w:rPr>
          <w:rFonts w:ascii="Arial" w:hAnsi="Arial" w:cs="Arial"/>
          <w:b/>
          <w:i/>
          <w:sz w:val="20"/>
          <w:szCs w:val="20"/>
        </w:rPr>
        <w:t>Pasen</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Pasen valt vroeg in dit jaar. Maar in het Jaar van het Geloof staat Pasen in het midden. De viering van het lijden, sterven en verrijzen van onze Heer Jezus Christus valt letterlijk in het midden van het Jaar van het Geloof. Dat Jaar loopt van oktober 2012 tot oktober 2013. De paus heeft het afgekondigd ter herdenking van een van de grootste gebeurtenissen uit de recente geschiedenis van de kerk: het Tweede Vaticaans Concilie (1962-1965). Het komt goed uit dat Pasen midden in het Jaar van het Geloof valt, want de viering van het lijden, sterven en verrijzen van onze Heer Jezus Christus vormt een uitstekende aanleiding om over ons geloof na te denken. Pasen kan zo kan ‘de deur van het geloof’ zijn die ons toegang geeft tot het leven met God.</w:t>
      </w:r>
      <w:r w:rsidRPr="002155DB">
        <w:rPr>
          <w:rStyle w:val="FootnoteReference"/>
          <w:rFonts w:ascii="Arial" w:hAnsi="Arial" w:cs="Arial"/>
          <w:sz w:val="20"/>
          <w:szCs w:val="20"/>
        </w:rPr>
        <w:footnoteReference w:id="1"/>
      </w:r>
      <w:r w:rsidRPr="002155DB">
        <w:rPr>
          <w:rFonts w:ascii="Arial" w:hAnsi="Arial" w:cs="Arial"/>
          <w:sz w:val="20"/>
          <w:szCs w:val="20"/>
        </w:rPr>
        <w:t xml:space="preserve"> In deze vastenbrief willen we naar aanleiding van Pasen, met name naar aanleiding van de hernieuwing van onze doopbeloften in de Paaswake, een aantal aspecten van ons geloof aan u voorleggen ter overweging en ter bespreking.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Geloof klinkt als een soort terugkerend refrein in de verschillende verhalen uit de Schrift over Pasen, want telkens wordt verteld over de leerlingen die tot geloof in de verrezen Heer komen. In de liturgie van Pasen wordt dat proces dat de leerlingen doormaken op indringende wijze een proces dat ook wij (kunnen) doormaken en wel wanneer wij in de Paaswake onze doopbeloften vernieuwen. In die vernieuwing van de doopbeloften drukken we ons geloof op een andere manier uit dan wanneer we in de zondagse liturgie ons geloof belijden. In elke zondagse eucharistieviering belijden we samen ‘ik geloof’. Deze manier van belijden toont al een belangrijk aspect van ons geloof. Het is een samenspel van ik en wij, van persoonlijk en van gemeenschappelijk. En dat gemeenschappelijk is niet alleen een kwestie van hier en nu: het gemeenschappelijk strekt zich uit over de hele Kerk van hier en wereldwijd, van nu en alle tijden. Maar bij de hernieuwing van de doopbeloften tijdens de Paaswake wordt een ander aspect van ons geloof belicht. Een aspect dat als het ware vóór dat samenspel van ik en wij ligt. Dat zit enigszins besloten in het gegeven dat we ons geloof belijden met woorden van anderen en met woorden die over de eeuwen heen tot ons gekomen zijn: geloof als een antwoord.</w:t>
      </w:r>
    </w:p>
    <w:p w:rsidR="000E7E8A" w:rsidRPr="002155DB" w:rsidRDefault="000E7E8A" w:rsidP="00BB6FA0">
      <w:pPr>
        <w:jc w:val="both"/>
        <w:rPr>
          <w:rFonts w:ascii="Arial" w:hAnsi="Arial" w:cs="Arial"/>
          <w:i/>
          <w:sz w:val="20"/>
          <w:szCs w:val="20"/>
        </w:rPr>
      </w:pPr>
    </w:p>
    <w:p w:rsidR="000E7E8A" w:rsidRPr="002155DB" w:rsidRDefault="000E7E8A" w:rsidP="00BB6FA0">
      <w:pPr>
        <w:jc w:val="both"/>
        <w:rPr>
          <w:rFonts w:ascii="Arial" w:hAnsi="Arial" w:cs="Arial"/>
          <w:b/>
          <w:i/>
          <w:sz w:val="20"/>
          <w:szCs w:val="20"/>
        </w:rPr>
      </w:pPr>
      <w:r w:rsidRPr="002155DB">
        <w:rPr>
          <w:rFonts w:ascii="Arial" w:hAnsi="Arial" w:cs="Arial"/>
          <w:b/>
          <w:i/>
          <w:sz w:val="20"/>
          <w:szCs w:val="20"/>
        </w:rPr>
        <w:t>Geloven: antwoord</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Paulus stelt in zijn brief aan de Romeinen een vraag die zichzelf beantwoordt: ‘Hoe kunnen zij in iemand geloven zonder van Hem te hebben gehoord?’ Het geloof komt uit het gehoor. Maar het horen is weer een reactie op het spreken, het verkondigen en het verkondigen vindt zijn oorsprong in de zending, en die zending is in opdracht van God die zich te kennen geeft.</w:t>
      </w:r>
      <w:r w:rsidRPr="002155DB">
        <w:rPr>
          <w:rStyle w:val="FootnoteReference"/>
          <w:rFonts w:ascii="Arial" w:hAnsi="Arial" w:cs="Arial"/>
          <w:sz w:val="20"/>
          <w:szCs w:val="20"/>
        </w:rPr>
        <w:footnoteReference w:id="2"/>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 xml:space="preserve">Het proces dat Paulus hier schetst, geldt niet alleen voor het geloof, maar voor allerlei processen in onze maatschappij waarin informatie, ideeën, waarden e.d. doorgegeven en opgenomen worden. Maar dit proces krijgt een eigen kleur als het over geloof gaat, omdat het begin van dit proces niet bij ons ligt, maar bij God. Het geloof is uiteindelijk ons antwoord op God die het initiatief neemt om zich te laten kennen. Dat fundamentele gegeven wordt beeldend uitgedrukt in de vorm van de hernieuwing van de doopbelofte: vraag en antwoord.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b/>
          <w:i/>
          <w:sz w:val="20"/>
          <w:szCs w:val="20"/>
        </w:rPr>
      </w:pPr>
      <w:r w:rsidRPr="002155DB">
        <w:rPr>
          <w:rFonts w:ascii="Arial" w:hAnsi="Arial" w:cs="Arial"/>
          <w:b/>
          <w:i/>
          <w:sz w:val="20"/>
          <w:szCs w:val="20"/>
        </w:rPr>
        <w:t>Geloven: een proces</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Dat proces van doorgeven en opnemen geeft aan het geloof een levendige dynamiek, al was het alleen maar omdat het een voortdurend proces is. Wil het namelijk om een levend geloof gaan, wil het om een geloof gaan dat het concrete leven van alledag beïnvloedt en richting geeft, dan moeten wij samen en ieder voor zich het geloof niet als een dood gewicht met ons meedragen, maar ons eigen maken in de steeds wisselende omstandigheden van ons leven. Ook al moet ieder dat zelf en voor zich doen, het kan niet goed zonder anderen die ons helpen ons geloof te ontwikkelen en te onderhouden. Anderen die hun eigen geloofservaringen, hun inzichten en overtuigingen, vragen en twijfels met ons delen. Anderen die ons ook expliciet bevragen en uitdagen door hun kritiek en impliciet door hun stijl van leven. Deze anderen zijn onze naasten, onze medegelovige, maar kunnen ook niet-gelovigen zijn. Hoe verschillend ook, zij allen vragen ons ‘rekenschap af te leggen van de hoop die in ons leeft’.</w:t>
      </w:r>
      <w:r w:rsidRPr="002155DB">
        <w:rPr>
          <w:rStyle w:val="FootnoteReference"/>
          <w:rFonts w:ascii="Arial" w:hAnsi="Arial" w:cs="Arial"/>
          <w:sz w:val="20"/>
          <w:szCs w:val="20"/>
        </w:rPr>
        <w:footnoteReference w:id="3"/>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Wij leven in een maatschappij die niet meer vanzelfsprekend door geloof en godsdienst getekend wordt. Hoewel dat proces van het ons eigen maken van het geloof nooit vanzelf is gegaan en nooit gemakkelijk is geweest, is dat onvanzelfsprekende in onze huidige samenleving meer merkbaar dan in de periode die achter ons ligt. In onze situatie ontbreekt een vanzelfsprekendheid rond geloof en kerk die er in vroegere periodes wel aanwezig was. Dat verlies wordt verschillend beoordeeld. Sommigen praten er met opluchting over, anderen betreuren de teloorgang met een soort cultureel heimwee, zonder al te veel consequenties voor het eigen leven. Weer anderen ervaren het met pijn, voelen zich door kinderen, familie, vrienden, in de steek gelaten. Weer anderen, tenslotte, ondergaan het met berusting en ervaren de tragiek gelaten. Binnen de kerkgemeenschap is een negatieve waardering haast een natuurlijke reactie. Maar het is voor onze geloofsbeleving en spiritualiteit van groot belang dat we die negatieve gevoelens niet laten overheersen en dat we ons doen en laten als kerkgemeenschap en als individuele gelovige niet zó door die ontwikkeling laten bepalen dat we er met de rug naar toe gaan staan. Natuurlijk moeten we met die ontwikkeling en met de negatieve kanten ervan rekening houden, maar dat is wat anders dan er ons leven door laten bepalen. We kunnen die ontwikkeling ook zien als een mogelijkheid, een kans, een uitnodiging, een uitdaging om radicaal en fundamenteel na te denken over wie wij gelovigen zijn, wat onze identiteit als christenen is. En deze weg willen we gaan.</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b/>
          <w:i/>
          <w:sz w:val="20"/>
          <w:szCs w:val="20"/>
        </w:rPr>
      </w:pPr>
      <w:r w:rsidRPr="002155DB">
        <w:rPr>
          <w:rFonts w:ascii="Arial" w:hAnsi="Arial" w:cs="Arial"/>
          <w:b/>
          <w:i/>
          <w:sz w:val="20"/>
          <w:szCs w:val="20"/>
        </w:rPr>
        <w:t xml:space="preserve">Geloven: een relatie </w:t>
      </w:r>
    </w:p>
    <w:p w:rsidR="000E7E8A" w:rsidRPr="002155DB" w:rsidRDefault="000E7E8A" w:rsidP="00BB6FA0">
      <w:pPr>
        <w:jc w:val="both"/>
        <w:rPr>
          <w:rFonts w:ascii="Arial" w:hAnsi="Arial" w:cs="Arial"/>
          <w:i/>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In de Paaswake vernieuwen we dus onze doopbeloften door te antwoorden op een aantal vragen. Eerder in de Paaswake horen we hoe Paulus aan Christenen, die pas gedoopt zijn, uitlegt wat de doop inhoudt: sterven aan het oude leven en verrijzen tot een nieuw leven. Fundamenteler en dramatischer kan het haast niet: ‘weet u niet dat wij door de doop, die ons één heeft gemaakt met Christus Jezus, delen in zijn dood? Door de doop in zijn dood zijn wij met Hem begraven, opdat ook wij, zoals Christus door de macht van zijn Vader uit de doden is opgewekt, een nieuw leven zouden gaan leiden. Want indien wij als het ware vergroeid zijn met zijn dood, moeten wij Hem ook volgen in zijn opstanding, in de overtuiging dat onze oude mens met Hem gekruisigd is.’</w:t>
      </w:r>
      <w:r w:rsidRPr="002155DB">
        <w:rPr>
          <w:rStyle w:val="FootnoteReference"/>
          <w:rFonts w:ascii="Arial" w:hAnsi="Arial" w:cs="Arial"/>
          <w:sz w:val="20"/>
          <w:szCs w:val="20"/>
        </w:rPr>
        <w:footnoteReference w:id="4"/>
      </w:r>
      <w:r w:rsidRPr="002155DB">
        <w:rPr>
          <w:rFonts w:ascii="Arial" w:hAnsi="Arial" w:cs="Arial"/>
          <w:sz w:val="20"/>
          <w:szCs w:val="20"/>
        </w:rPr>
        <w:t xml:space="preserve">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Dat patroon van sterven en verrijzen komt terug in de vragen die de priester stelt bij de hernieuwing van de doopbeloften. Eerst vraagt hij of wij ons willen verzetten tegen kwaad en zonde, om vervolgens te vragen of wij God en God alleen willen dienen. Maar in de drie vragen die dán volgen komt de kern van ons geloof aan de orde. ‘Gelooft u in God de almachtige Vader, … in Jezus Christus, zijn eengeboren Zoon …, in de Heilige Geest … .’ In deze drie vragen komt terug wat de verrezen Heer als opdracht aan zijn leerlingen meegeeft: dopen ‘in de naam van de Vader, de Zoon en de Heilige Geest.’</w:t>
      </w:r>
      <w:r w:rsidRPr="002155DB">
        <w:rPr>
          <w:rStyle w:val="FootnoteReference"/>
          <w:rFonts w:ascii="Arial" w:hAnsi="Arial" w:cs="Arial"/>
          <w:sz w:val="20"/>
          <w:szCs w:val="20"/>
        </w:rPr>
        <w:footnoteReference w:id="5"/>
      </w:r>
      <w:r w:rsidRPr="002155DB">
        <w:rPr>
          <w:rFonts w:ascii="Arial" w:hAnsi="Arial" w:cs="Arial"/>
          <w:sz w:val="20"/>
          <w:szCs w:val="20"/>
        </w:rPr>
        <w:t xml:space="preserve"> En, zoals gezegd, met die drie vragen raken we de kern van ons geloof. Wij christenen geloven niet in ‘iets’ en wij geloven zelfs niet in God zondermeer, maar in God die zich als Vader, Zoon en Heilige Geest heeft laten kennen in de geschiedenis van ons mensen, die met ieder van ons in relatie wil treden en onze God wil zijn.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b/>
          <w:i/>
          <w:sz w:val="20"/>
          <w:szCs w:val="20"/>
        </w:rPr>
      </w:pPr>
      <w:r w:rsidRPr="002155DB">
        <w:rPr>
          <w:rFonts w:ascii="Arial" w:hAnsi="Arial" w:cs="Arial"/>
          <w:b/>
          <w:i/>
          <w:sz w:val="20"/>
          <w:szCs w:val="20"/>
        </w:rPr>
        <w:t>Geloven: schakeringen</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 xml:space="preserve">Binnen en buiten de kerk spreken we over geloven. Vaak betekent ‘geloven’ dat we iets niet met zekerheid weten. We geloven dat het mooi weer wordt, dat de bus of de trein op een bepaalde tijd vertrekt, dat er ergens iets ernstigs is gebeurd. Maar in ons gewone taalgebruik zeggen we ook dat we ‘iemand geloven’ en dat we ‘in iemand geloven’. Dan gaat het niet om weten, dan krijgt ‘geloven’ een andere betekenis. Als we zeggen dat we </w:t>
      </w:r>
      <w:r w:rsidRPr="002155DB">
        <w:rPr>
          <w:rFonts w:ascii="Arial" w:hAnsi="Arial" w:cs="Arial"/>
          <w:i/>
          <w:sz w:val="20"/>
          <w:szCs w:val="20"/>
        </w:rPr>
        <w:t xml:space="preserve">iemand </w:t>
      </w:r>
      <w:r w:rsidRPr="002155DB">
        <w:rPr>
          <w:rFonts w:ascii="Arial" w:hAnsi="Arial" w:cs="Arial"/>
          <w:sz w:val="20"/>
          <w:szCs w:val="20"/>
        </w:rPr>
        <w:t xml:space="preserve">geloven, zeggen we dat we die persoon vertrouwen, dat we wat die persoon zegt, vanwege zijn of haar autoriteit of expertise, voor waar houden en op zijn of haar gezag aannemen. Iemand geloven kan een heel scala doorlopen: van een journalist in de lokale krant tot een second opinion van een specialist bij een zware operatie, van een leerkracht op de basisschool tot een getuige deskundige bij een rechtszaak. Maar als we </w:t>
      </w:r>
      <w:r w:rsidRPr="002155DB">
        <w:rPr>
          <w:rFonts w:ascii="Arial" w:hAnsi="Arial" w:cs="Arial"/>
          <w:i/>
          <w:sz w:val="20"/>
          <w:szCs w:val="20"/>
        </w:rPr>
        <w:t>in</w:t>
      </w:r>
      <w:r w:rsidRPr="002155DB">
        <w:rPr>
          <w:rFonts w:ascii="Arial" w:hAnsi="Arial" w:cs="Arial"/>
          <w:sz w:val="20"/>
          <w:szCs w:val="20"/>
        </w:rPr>
        <w:t xml:space="preserve"> iemand geloven, gaan we als het ware nog een stap verder: dan zeggen we dat we die persoon zo vertrouwen dat we op haar of hem durven bouwen, ons aan haar of hem toevertrouwen.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 xml:space="preserve">Deze schakeringen in ‘geloven’ komen ook tot uiting in het tegendeel. Eenvoudige feiten kunnen ons geloof dat iets wel of niet het geval is corrigeren; dat gebeurt dagelijks. We zeggen dan dat we ons vergist hebben en dat levert meestal geen grote problemen op. Vergissen is menselijk. Ingrijpender is het wanneer blijkt dat we iemand die we geloofd hebben niet geloofwaardig is, ten onrechte als expert of autoriteit opgetreden is. Maar het meest ingrijpend en schokkende is het wanneer we moeten erkennen dat iemand in wie we geloven en op wie we bouwen, onbetrouwbaar is en ons vertrouwen niet waard is. Dat leidt tot tragische en dramatische breuken in relaties en soms tot fundamenteel wantrouwen tegenover alle anderen.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 xml:space="preserve">Wanneer binnen de Kerk nagedacht wordt over ons geloof spelen deze schakeringen een grote rol. Er wordt dan allereerst benadrukt dat we in de geloofsbelijdenis ‘geloven in’ gebruiken. We zijn gelovigen omdat we op de eerste plaats </w:t>
      </w:r>
      <w:r w:rsidRPr="002155DB">
        <w:rPr>
          <w:rFonts w:ascii="Arial" w:hAnsi="Arial" w:cs="Arial"/>
          <w:i/>
          <w:sz w:val="20"/>
          <w:szCs w:val="20"/>
        </w:rPr>
        <w:t>in</w:t>
      </w:r>
      <w:r w:rsidRPr="002155DB">
        <w:rPr>
          <w:rFonts w:ascii="Arial" w:hAnsi="Arial" w:cs="Arial"/>
          <w:sz w:val="20"/>
          <w:szCs w:val="20"/>
        </w:rPr>
        <w:t xml:space="preserve"> God geloven en op God bouwen. Maar er wordt ook benadrukt dat we ‘geloven in’ alleen voor ons geloof in </w:t>
      </w:r>
      <w:r w:rsidRPr="002155DB">
        <w:rPr>
          <w:rFonts w:ascii="Arial" w:hAnsi="Arial" w:cs="Arial"/>
          <w:i/>
          <w:sz w:val="20"/>
          <w:szCs w:val="20"/>
        </w:rPr>
        <w:t>God</w:t>
      </w:r>
      <w:r w:rsidRPr="002155DB">
        <w:rPr>
          <w:rFonts w:ascii="Arial" w:hAnsi="Arial" w:cs="Arial"/>
          <w:sz w:val="20"/>
          <w:szCs w:val="20"/>
        </w:rPr>
        <w:t xml:space="preserve"> gebruiken.</w:t>
      </w:r>
      <w:r w:rsidRPr="002155DB">
        <w:rPr>
          <w:rStyle w:val="FootnoteReference"/>
          <w:rFonts w:ascii="Arial" w:hAnsi="Arial" w:cs="Arial"/>
          <w:sz w:val="20"/>
          <w:szCs w:val="20"/>
        </w:rPr>
        <w:footnoteReference w:id="6"/>
      </w:r>
      <w:r w:rsidRPr="002155DB">
        <w:rPr>
          <w:rFonts w:ascii="Arial" w:hAnsi="Arial" w:cs="Arial"/>
          <w:sz w:val="20"/>
          <w:szCs w:val="20"/>
        </w:rPr>
        <w:t xml:space="preserve"> Vandaar dat er bij de hernieuwing van de doopbeloften drie keer gevraagd wordt of we geloven </w:t>
      </w:r>
      <w:r w:rsidRPr="002155DB">
        <w:rPr>
          <w:rFonts w:ascii="Arial" w:hAnsi="Arial" w:cs="Arial"/>
          <w:i/>
          <w:sz w:val="20"/>
          <w:szCs w:val="20"/>
        </w:rPr>
        <w:t>in</w:t>
      </w:r>
      <w:r w:rsidRPr="002155DB">
        <w:rPr>
          <w:rFonts w:ascii="Arial" w:hAnsi="Arial" w:cs="Arial"/>
          <w:sz w:val="20"/>
          <w:szCs w:val="20"/>
        </w:rPr>
        <w:t xml:space="preserve">: geloven we </w:t>
      </w:r>
      <w:r w:rsidRPr="002155DB">
        <w:rPr>
          <w:rFonts w:ascii="Arial" w:hAnsi="Arial" w:cs="Arial"/>
          <w:i/>
          <w:sz w:val="20"/>
          <w:szCs w:val="20"/>
        </w:rPr>
        <w:t>in</w:t>
      </w:r>
      <w:r w:rsidRPr="002155DB">
        <w:rPr>
          <w:rFonts w:ascii="Arial" w:hAnsi="Arial" w:cs="Arial"/>
          <w:sz w:val="20"/>
          <w:szCs w:val="20"/>
        </w:rPr>
        <w:t xml:space="preserve"> God de Vader, </w:t>
      </w:r>
      <w:r w:rsidRPr="002155DB">
        <w:rPr>
          <w:rFonts w:ascii="Arial" w:hAnsi="Arial" w:cs="Arial"/>
          <w:i/>
          <w:sz w:val="20"/>
          <w:szCs w:val="20"/>
        </w:rPr>
        <w:t>in</w:t>
      </w:r>
      <w:r w:rsidRPr="002155DB">
        <w:rPr>
          <w:rFonts w:ascii="Arial" w:hAnsi="Arial" w:cs="Arial"/>
          <w:sz w:val="20"/>
          <w:szCs w:val="20"/>
        </w:rPr>
        <w:t xml:space="preserve"> de Zoon, </w:t>
      </w:r>
      <w:r w:rsidRPr="002155DB">
        <w:rPr>
          <w:rFonts w:ascii="Arial" w:hAnsi="Arial" w:cs="Arial"/>
          <w:i/>
          <w:sz w:val="20"/>
          <w:szCs w:val="20"/>
        </w:rPr>
        <w:t>in</w:t>
      </w:r>
      <w:r w:rsidRPr="002155DB">
        <w:rPr>
          <w:rFonts w:ascii="Arial" w:hAnsi="Arial" w:cs="Arial"/>
          <w:sz w:val="20"/>
          <w:szCs w:val="20"/>
        </w:rPr>
        <w:t xml:space="preserve"> de Heilige Geest. Ook in de geloofsbelijdenis die we op zondag bidden komt dit terug en wordt het ‘in’ van het begin twee keer herhaald: bij Jezus Christus en bij de Geest.</w:t>
      </w:r>
      <w:r w:rsidRPr="002155DB">
        <w:rPr>
          <w:rStyle w:val="FootnoteReference"/>
          <w:rFonts w:ascii="Arial" w:hAnsi="Arial" w:cs="Arial"/>
          <w:sz w:val="20"/>
          <w:szCs w:val="20"/>
        </w:rPr>
        <w:footnoteReference w:id="7"/>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b/>
          <w:i/>
          <w:sz w:val="20"/>
          <w:szCs w:val="20"/>
        </w:rPr>
      </w:pPr>
      <w:r w:rsidRPr="002155DB">
        <w:rPr>
          <w:rFonts w:ascii="Arial" w:hAnsi="Arial" w:cs="Arial"/>
          <w:b/>
          <w:i/>
          <w:sz w:val="20"/>
          <w:szCs w:val="20"/>
        </w:rPr>
        <w:t>Geloven: met wie hebben wij het genoegen?</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 xml:space="preserve">Bij de hernieuwing van de doopbeloften stelt de priester dus drie vragen. Bij elk van de drie vragen voegt hij iets toe om Vader, Zoon en Heilige Geest nader te bepalen en om de werkzaamheid van elk in onze mensengeschiedenis kort toe te lichten. Bij de Vader is dat Schepper van hemel en aarde, bij de Zoon is dat zijn geboorte uit de maagd Maria, zijn lijden, sterven en begrafenis, zijn verrijzenis en zijn zitten aan de rechterhand van de Vader, bij de Geest is dat de Kerk, de gemeenschap van heiligen, de vergeving van zonden, de verrijzenis van het lichaam en het eeuwige leven. Dat aan de drie namen korte toevoegingen gegeven worden is begrijpelijk, omdat ‘geloven in’ dat oproept. Precies omdat ‘geloven in’ een fundamentele relatie van toevertrouwen is, roept dat de vraag op ‘met wie wij het genoegen hebben’.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Die toevoegingen hebben dus betrekking op de werkzaamheid Gods in onze mensengeschiedenis. Maar deze toevoegingen kunnen ook misverstaan worden, in de zin dat ze verstaan worden als enkel betrekking hebbend op ofwel de Vader, ofwel de Zoon ofwel de Heilige Geest. Maar de kern van ons geloof in God Vader-Zoon-Heilige Geest is de eenheid en verbondenheid van deze drie. De eigenheid van de een gaat niet ten koste van de verbondenheid met de andere twee. Als we belijden dat de Vader de Schepper is, zeggen we daarmee niet dat de Zoon en de Geest niets met de schepping te maken hebben. Als we belijden dat de Zoon mens geworden is dan zeggen we niet dat de Vader en de Heilige Geest niet bij de menswording betrokken zijn. Als we belijden dat de Heilige Geest in ons werkt, in de Kerk en in ons individueel, zeggen we niet dat de Vader en de Zoon daarbij geen rol spelen. Maar we zeggen wel dat het eigene van de Vader het meest tot uiting komt in het scheppen, het eigene van de Zoon in de menswording en het eigene van de Geest in de voortdurende werkzaamheid in ons.</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 xml:space="preserve">Vader, Zoon, Heilige Geest zijn zo op elkaar betrokken dat de een niet los gezien en los gedacht kan worden van de anderen. We raken hier aan de grenzen van onze denk- en voorstellingsvermogens. De termen die we gebruiken – ‘Vader’, ‘Zoon’, ‘Heilige Geest’ – kunnen wel verhelderend werken: het zijn namelijk termen die relaties aangeven. Wij kennen verschillende vormen en gradaties van relaties en die verschillende vormen en gradaties kunnen ons hier enigszins helpen om te het mysterie van God de Drie-ene te naderen.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Er is een verschil tussen vrienden/vriendinnen enerzijds en bekenden anderzijds. En zelfs binnen de groep vrienden/vriendinnen zijn er gradaties en dat geldt niet alleen voor de vrienden op Facebook. Onze meest sterke relaties zijn die relaties die niet toevallig zijn, maar die beide kanten bepalen tot wie wij zijn. Het duidelijkste voorbeeld hiervan is de relatie tussen ouders en kinderen. Als kind ben je altijd kind van je ouders en als ouder ben je altijd ouder van je kind. Je kunt niet iemand niet ouder noemen als zij/hij geen kind heeft en je kunt iemand geen kind noemen als zij/hij geen ouders heeft. Die relatie ouder-kind blijft, ook als ouders sterven of kinderen uit het leven van hun ouders vertrekken. Maar iedere ouder is meer dan ouder en ieder kind meer dan kind. Wij mensen hebben relaties, wij zijn geen relatie. Maar precies dat zeggen wij van God: dat God relatie is. God is Vader-Zoon-Geest. ‘Wie Mij gezien heeft, heeft de Vader gezien…Geloof je niet dat Ik in de Vader ben en de Vader in Mij? … Geloof me toch: Ik ben in de Vader en de Vader is in Mij.’</w:t>
      </w:r>
      <w:r w:rsidRPr="002155DB">
        <w:rPr>
          <w:rStyle w:val="FootnoteReference"/>
          <w:rFonts w:ascii="Arial" w:hAnsi="Arial" w:cs="Arial"/>
          <w:sz w:val="20"/>
          <w:szCs w:val="20"/>
        </w:rPr>
        <w:footnoteReference w:id="8"/>
      </w:r>
      <w:r w:rsidRPr="002155DB">
        <w:rPr>
          <w:rFonts w:ascii="Arial" w:hAnsi="Arial" w:cs="Arial"/>
          <w:sz w:val="20"/>
          <w:szCs w:val="20"/>
        </w:rPr>
        <w:t xml:space="preserve"> Of zoals het in de prefatie van het feest van de Heilige Drie-eenheid geformuleerd wordt: ‘wat wij weten en geloven van u, Vader, weten en geloven wij ook van uw Zoon en van de Heilige Geest’.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b/>
          <w:i/>
          <w:sz w:val="20"/>
          <w:szCs w:val="20"/>
        </w:rPr>
      </w:pPr>
      <w:r>
        <w:rPr>
          <w:rFonts w:ascii="Arial" w:hAnsi="Arial" w:cs="Arial"/>
          <w:b/>
          <w:i/>
          <w:sz w:val="20"/>
          <w:szCs w:val="20"/>
        </w:rPr>
        <w:t>Geloven: niet vanzelfsprekend</w:t>
      </w:r>
      <w:r w:rsidRPr="002155DB">
        <w:rPr>
          <w:rFonts w:ascii="Arial" w:hAnsi="Arial" w:cs="Arial"/>
          <w:b/>
          <w:i/>
          <w:sz w:val="20"/>
          <w:szCs w:val="20"/>
        </w:rPr>
        <w:t xml:space="preserve"> </w:t>
      </w:r>
    </w:p>
    <w:p w:rsidR="000E7E8A" w:rsidRPr="002155DB" w:rsidRDefault="000E7E8A" w:rsidP="00BB6FA0">
      <w:pPr>
        <w:jc w:val="both"/>
        <w:rPr>
          <w:rFonts w:ascii="Arial" w:hAnsi="Arial" w:cs="Arial"/>
          <w:i/>
          <w:sz w:val="20"/>
          <w:szCs w:val="20"/>
        </w:rPr>
      </w:pPr>
    </w:p>
    <w:p w:rsidR="000E7E8A" w:rsidRPr="002155DB" w:rsidRDefault="000E7E8A" w:rsidP="00BB6FA0">
      <w:pPr>
        <w:ind w:right="78"/>
        <w:jc w:val="both"/>
        <w:rPr>
          <w:rFonts w:ascii="Arial" w:hAnsi="Arial" w:cs="Arial"/>
          <w:sz w:val="20"/>
          <w:szCs w:val="20"/>
        </w:rPr>
      </w:pPr>
      <w:r w:rsidRPr="002155DB">
        <w:rPr>
          <w:rFonts w:ascii="Arial" w:hAnsi="Arial" w:cs="Arial"/>
          <w:sz w:val="20"/>
          <w:szCs w:val="20"/>
        </w:rPr>
        <w:t>Al eerder hebben we gezegd dat in onze huidige samenleving geloven niet vanzelfsprekend is. Geloven in God Vader-Zoon-Heilige Geest is dat nooit geweest. Vanaf het begin heeft de Kerk hiermee geworsteld. Maar het is een misvatting die worsteling alleen maar te lokaliseren in de vroege Kerk en die discussie af te doen als een discussie die opgeroepen werd door de Griekse filosofie. In de evangelies is een refrein te horen van verbazing en verzet.</w:t>
      </w:r>
      <w:r w:rsidRPr="002155DB">
        <w:rPr>
          <w:rStyle w:val="FootnoteReference"/>
          <w:rFonts w:ascii="Arial" w:hAnsi="Arial" w:cs="Arial"/>
          <w:sz w:val="20"/>
          <w:szCs w:val="20"/>
        </w:rPr>
        <w:footnoteReference w:id="9"/>
      </w:r>
      <w:r w:rsidRPr="002155DB">
        <w:rPr>
          <w:rFonts w:ascii="Arial" w:hAnsi="Arial" w:cs="Arial"/>
          <w:sz w:val="20"/>
          <w:szCs w:val="20"/>
        </w:rPr>
        <w:t xml:space="preserve"> In de proloog op het Johannes evangelie wordt het Licht niet aanvaard: ‘de duisternis kon het niet aan.’</w:t>
      </w:r>
      <w:r w:rsidRPr="002155DB">
        <w:rPr>
          <w:rStyle w:val="FootnoteReference"/>
          <w:rFonts w:ascii="Arial" w:hAnsi="Arial" w:cs="Arial"/>
          <w:sz w:val="20"/>
          <w:szCs w:val="20"/>
        </w:rPr>
        <w:footnoteReference w:id="10"/>
      </w:r>
      <w:r w:rsidRPr="002155DB">
        <w:rPr>
          <w:rFonts w:ascii="Arial" w:hAnsi="Arial" w:cs="Arial"/>
          <w:sz w:val="20"/>
          <w:szCs w:val="20"/>
        </w:rPr>
        <w:t xml:space="preserve"> Het verzet dat uitloopt op veroordeling en dood.</w:t>
      </w:r>
      <w:r w:rsidRPr="002155DB">
        <w:rPr>
          <w:rStyle w:val="FootnoteReference"/>
          <w:rFonts w:ascii="Arial" w:hAnsi="Arial" w:cs="Arial"/>
          <w:sz w:val="20"/>
          <w:szCs w:val="20"/>
        </w:rPr>
        <w:footnoteReference w:id="11"/>
      </w:r>
      <w:r w:rsidRPr="002155DB">
        <w:rPr>
          <w:rFonts w:ascii="Arial" w:hAnsi="Arial" w:cs="Arial"/>
          <w:sz w:val="20"/>
          <w:szCs w:val="20"/>
        </w:rPr>
        <w:t xml:space="preserve"> Maar in onze tijd, in onze maatschappij hebben we een aparte gevoeligheid voor die niet-vanzelfsprekendheid van onze geloofsbelijdenis. Zoals we eerder zeiden, dat hoeft niet alleen problematisch te zijn, dat kan ons ook helpen om in onze tijd en in onze omstandigheden onze identiteit als Christenen te verhelderen. We willen op een aantal punten wijzen.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b/>
          <w:i/>
          <w:sz w:val="20"/>
          <w:szCs w:val="20"/>
        </w:rPr>
      </w:pPr>
      <w:r w:rsidRPr="002155DB">
        <w:rPr>
          <w:rFonts w:ascii="Arial" w:hAnsi="Arial" w:cs="Arial"/>
          <w:b/>
          <w:i/>
          <w:sz w:val="20"/>
          <w:szCs w:val="20"/>
        </w:rPr>
        <w:t>‘Schepper van hemel en aarde’</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We beginnen onze geloofsbelijdenis met ‘de Schepper van hemel en aarde’. Daarmee drukken wij een visie op God en op de werkelijkheid uit die bepalend is voor ons geloof.</w:t>
      </w:r>
      <w:r w:rsidRPr="002155DB">
        <w:rPr>
          <w:rStyle w:val="FootnoteReference"/>
          <w:rFonts w:ascii="Arial" w:hAnsi="Arial" w:cs="Arial"/>
          <w:sz w:val="20"/>
          <w:szCs w:val="20"/>
        </w:rPr>
        <w:footnoteReference w:id="12"/>
      </w:r>
      <w:r w:rsidRPr="002155DB">
        <w:rPr>
          <w:rFonts w:ascii="Arial" w:hAnsi="Arial" w:cs="Arial"/>
          <w:sz w:val="20"/>
          <w:szCs w:val="20"/>
        </w:rPr>
        <w:t xml:space="preserve">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Dat God hemel en aarde geschapen heeft, betekent dat God geen onderdeel is van de hemel en de aarde. De Schepper is geen schepsel. God zou er ook zonder hemel en aarde zijn. God is ook niet automatisch de Schepper, want dan zou de schepping eeuwig zijn, zoals God eeuwig is. De schepping is er omdat God gekozen heeft te scheppen. De aanleiding daarvoor is niet iets buiten God, want dat is er niet, maar iets in God. In de traditie wordt dan gesproken over goedheid als innerlijke bron, een goedheid die overstroomt in de schepping. Die schepping is dan ook fundamenteel goed, zoals het refrein van het scheppingsverhaal dat we in de Paaswake lezen, benadrukt.</w:t>
      </w:r>
      <w:r w:rsidRPr="002155DB">
        <w:rPr>
          <w:rStyle w:val="FootnoteReference"/>
          <w:rFonts w:ascii="Arial" w:hAnsi="Arial" w:cs="Arial"/>
          <w:sz w:val="20"/>
          <w:szCs w:val="20"/>
        </w:rPr>
        <w:footnoteReference w:id="13"/>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Dat God zo radicaal begint in zijn scheppingswerk is moeilijk voor te stellen, omdat wij in onze werkelijkheid altijd met iets beginnen. We maken altijd iets van iets anders, of het nu om koken of bouwen gaat of om het ontwikkelen van ideeën of het maken van een kunstwerk. Wij beginnen altijd met iets, wij reageren altijd op iets of iemand en we zijn in ons doen en laten daardoor beperkt en bepaald. Zelfs de grootste kunstenaars zijn beperkt door het materiaal waarmee ze werken. Ze kunnen wel grenzen verleggen, maar het blijven grenzen. Van God belijden we dat zijn scheppen niet lijkt op ons scheppen: God reageert niet, maar schept zonder condities.</w:t>
      </w:r>
      <w:r w:rsidRPr="002155DB">
        <w:rPr>
          <w:rStyle w:val="FootnoteReference"/>
          <w:rFonts w:ascii="Arial" w:hAnsi="Arial" w:cs="Arial"/>
          <w:sz w:val="20"/>
          <w:szCs w:val="20"/>
        </w:rPr>
        <w:footnoteReference w:id="14"/>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Dat scheppend handelen Gods werkt door in Gods concrete omgang met ons en zet de toon voor de gang van de heilsgeschiedenis, voor zijn her-scheppen. Ook dat is moeilijk voor te stellen, of beter, dat is moeilijk te accepteren. Wij doen weinig of niets onvoorwaardelijk: meestal gaat het erom dat ‘eerst moet dit gebeuren voordat ik …’, of ‘als dat en dat gebeurt, dan pas kan ik …’. Dat heeft met ons gevoel van recht en rechtvaardigheid te maken. Voor wat hoort wat. We zijn geneigd dat voorwaardelijke denken en onze ideeën van wat rechtvaardig is mee te nemen in onze omgang met God. Maar wanneer Jezus spreekt over het Rijk Gods, dan vertelt hij over een landeigenaar die aan het eind van de dag aan degenen die een uur hebben gewerkt hetzelfde geeft als wat hij met degenen die de hele dag hebben gewerkt heeft afgesproken. Wanneer die laatsten protesteren omdat ze dat niet eerlijk vinden, stelt de landeigenaar de ontregelende vraag: ‘zijn jullie kwaad omdat ik goed ben?’</w:t>
      </w:r>
      <w:r w:rsidRPr="002155DB">
        <w:rPr>
          <w:rStyle w:val="FootnoteReference"/>
          <w:rFonts w:ascii="Arial" w:hAnsi="Arial" w:cs="Arial"/>
          <w:sz w:val="20"/>
          <w:szCs w:val="20"/>
        </w:rPr>
        <w:footnoteReference w:id="15"/>
      </w:r>
      <w:r w:rsidRPr="002155DB">
        <w:rPr>
          <w:rFonts w:ascii="Arial" w:hAnsi="Arial" w:cs="Arial"/>
          <w:sz w:val="20"/>
          <w:szCs w:val="20"/>
        </w:rPr>
        <w:t xml:space="preserve">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Bij dit niet-conditionele handelen Gods hoort ook vergeven, een ander moeilijk punt. Niet de houding van de vader die zijn jongste zoon nauwelijks laat uitspreken, maar de houding van de oudste zoon, die niet binnen wil komen, weerspiegelt vaak de onze.</w:t>
      </w:r>
      <w:r w:rsidRPr="002155DB">
        <w:rPr>
          <w:rStyle w:val="FootnoteReference"/>
          <w:rFonts w:ascii="Arial" w:hAnsi="Arial" w:cs="Arial"/>
          <w:sz w:val="20"/>
          <w:szCs w:val="20"/>
        </w:rPr>
        <w:footnoteReference w:id="16"/>
      </w:r>
      <w:r w:rsidRPr="002155DB">
        <w:rPr>
          <w:rFonts w:ascii="Arial" w:hAnsi="Arial" w:cs="Arial"/>
          <w:sz w:val="20"/>
          <w:szCs w:val="20"/>
        </w:rPr>
        <w:t xml:space="preserve"> Maar zoals Paulus dat in zijn brief aan de Romeinen formuleert, ‘hij heeft ons liefgehad toen wij nog zondaars waren’, niet pas toen wij zonder zonden waren.</w:t>
      </w:r>
      <w:r w:rsidRPr="002155DB">
        <w:rPr>
          <w:rStyle w:val="FootnoteReference"/>
          <w:rFonts w:ascii="Arial" w:hAnsi="Arial" w:cs="Arial"/>
          <w:sz w:val="20"/>
          <w:szCs w:val="20"/>
        </w:rPr>
        <w:footnoteReference w:id="17"/>
      </w:r>
      <w:r w:rsidRPr="002155DB">
        <w:rPr>
          <w:rFonts w:ascii="Arial" w:hAnsi="Arial" w:cs="Arial"/>
          <w:sz w:val="20"/>
          <w:szCs w:val="20"/>
        </w:rPr>
        <w:t xml:space="preserve"> Of nog duidelijker: ‘Maar toen de goedheid en mensenliefde van God onze redder is verschenen, heeft Hij ons gered, niet omdat wij iets gedaan zouden hebben dat ons kan rechtvaardigen maar alleen omdat Hij barmhartig is.’</w:t>
      </w:r>
      <w:r w:rsidRPr="002155DB">
        <w:rPr>
          <w:rStyle w:val="FootnoteReference"/>
          <w:rFonts w:ascii="Arial" w:hAnsi="Arial" w:cs="Arial"/>
          <w:sz w:val="20"/>
          <w:szCs w:val="20"/>
        </w:rPr>
        <w:footnoteReference w:id="18"/>
      </w:r>
      <w:r w:rsidRPr="002155DB">
        <w:rPr>
          <w:rFonts w:ascii="Arial" w:hAnsi="Arial" w:cs="Arial"/>
          <w:sz w:val="20"/>
          <w:szCs w:val="20"/>
        </w:rPr>
        <w:t xml:space="preserve">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 xml:space="preserve">Dat God hemel en aarde geschapen heeft, houdt ook een visie op onze werkelijkheid, die bepalend is voor ons geloof. Dat God hemel en aarde geschapen heeft, betekent dat onze werkelijkheid een begin heeft en er niet had hoeven zijn. In plaats van een zekere vanzelfsprekendheid of een noodzakelijkheid, wordt toevalligheid het kenmerk van onze werkelijkheid. Het is verwonderlijk dat er veeleer iets is dan niets. Ons bestaan is fundamenteel contingent. Of anders geformuleerd, ons bestaan, onze werkelijkheid is fundamenteel een gave. Dat kleurt ons hele bestaan of beter, zou ons hele bestaan moeten kleuren.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 xml:space="preserve">We zijn er gewend aan geraakt in onze maatschappij te spreken over zingeving. Ook als we over het geloof spreken, praten we zo. Maar als we alleen maar zo spreken, komt de vraag op of we ons geloof in God de Schepper wel serieus genoeg nemen. Wanneer we namelijk over ons geloof alleen maar in termen van ‘zin geven’ spreken, is God het antwoord op onze vragen. Het is dan niet denkbeeldig dat deze vragen bepalen hoe wij God zien. Maar wie de Schrift leest, merkt dat in alle roepingsverhalen God begint met te vragen: de mens geeft antwoord. Dat God telkens weer begint, wordt door het geloof in de Schepper expliciet en fundamenteel onderstreept. Wanneer we over ons geloof alleen maar in termen van ‘zin geven’ zouden spreken, is het ook niet denkbeeldig dat de vragen die we stellen, niet meer bevraagd worden of onder kritiek worden gesteld. We blijven dan binnen de waardepatronen en zingevingen van onze huidige maatschappij. Wanneer die vragen wel onder kritiek worden gesteld, hoeft en kan in die moeilijke en gevoelige discussies waarin een beroep gedaan wordt op ‘menswaardig’ leven en ‘menswaardig’ sterven, dat ‘menswaardige’ niet alleen maar ingevuld worden met zin </w:t>
      </w:r>
      <w:r w:rsidRPr="002155DB">
        <w:rPr>
          <w:rFonts w:ascii="Arial" w:hAnsi="Arial" w:cs="Arial"/>
          <w:i/>
          <w:sz w:val="20"/>
          <w:szCs w:val="20"/>
        </w:rPr>
        <w:t xml:space="preserve">geven, </w:t>
      </w:r>
      <w:r w:rsidRPr="002155DB">
        <w:rPr>
          <w:rFonts w:ascii="Arial" w:hAnsi="Arial" w:cs="Arial"/>
          <w:sz w:val="20"/>
          <w:szCs w:val="20"/>
        </w:rPr>
        <w:t xml:space="preserve">hoeft en kan </w:t>
      </w:r>
      <w:r w:rsidRPr="002155DB">
        <w:rPr>
          <w:rFonts w:ascii="Arial" w:hAnsi="Arial" w:cs="Arial"/>
          <w:i/>
          <w:sz w:val="20"/>
          <w:szCs w:val="20"/>
        </w:rPr>
        <w:t>zin</w:t>
      </w:r>
      <w:r w:rsidRPr="002155DB">
        <w:rPr>
          <w:rFonts w:ascii="Arial" w:hAnsi="Arial" w:cs="Arial"/>
          <w:sz w:val="20"/>
          <w:szCs w:val="20"/>
        </w:rPr>
        <w:t xml:space="preserve"> niet automatisch verstaan worden met de waarden die nu bepalend zijn in onze maakbare maatschappij, zoals efficiënt, economisch verantwoord en nuttig.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Het geloof in God de Schepper attendeert ons dus op een belangrijk aspect van ons leven: dat we allerlei zaken krijgen. We krijgen niet alleen ons leven, maar ook in ons leven krijgen we genegenheid, vriendschap, liefde en dat zijn keer op keer meer dan nuttige of efficiënte zaken.</w:t>
      </w:r>
    </w:p>
    <w:p w:rsidR="000E7E8A" w:rsidRDefault="000E7E8A" w:rsidP="00BB6FA0">
      <w:pPr>
        <w:jc w:val="both"/>
        <w:rPr>
          <w:rFonts w:ascii="Arial" w:hAnsi="Arial" w:cs="Arial"/>
          <w:i/>
          <w:sz w:val="20"/>
          <w:szCs w:val="20"/>
        </w:rPr>
      </w:pPr>
    </w:p>
    <w:p w:rsidR="000E7E8A" w:rsidRDefault="000E7E8A" w:rsidP="00BB6FA0">
      <w:pPr>
        <w:jc w:val="both"/>
        <w:rPr>
          <w:rFonts w:ascii="Arial" w:hAnsi="Arial" w:cs="Arial"/>
          <w:i/>
          <w:sz w:val="20"/>
          <w:szCs w:val="20"/>
        </w:rPr>
      </w:pPr>
    </w:p>
    <w:p w:rsidR="000E7E8A" w:rsidRDefault="000E7E8A" w:rsidP="00BB6FA0">
      <w:pPr>
        <w:jc w:val="both"/>
        <w:rPr>
          <w:rFonts w:ascii="Arial" w:hAnsi="Arial" w:cs="Arial"/>
          <w:i/>
          <w:sz w:val="20"/>
          <w:szCs w:val="20"/>
        </w:rPr>
      </w:pPr>
    </w:p>
    <w:p w:rsidR="000E7E8A" w:rsidRPr="002155DB" w:rsidRDefault="000E7E8A" w:rsidP="00BB6FA0">
      <w:pPr>
        <w:jc w:val="both"/>
        <w:rPr>
          <w:rFonts w:ascii="Arial" w:hAnsi="Arial" w:cs="Arial"/>
          <w:b/>
          <w:i/>
          <w:sz w:val="20"/>
          <w:szCs w:val="20"/>
        </w:rPr>
      </w:pPr>
      <w:r w:rsidRPr="002155DB">
        <w:rPr>
          <w:rFonts w:ascii="Arial" w:hAnsi="Arial" w:cs="Arial"/>
          <w:b/>
          <w:i/>
          <w:sz w:val="20"/>
          <w:szCs w:val="20"/>
        </w:rPr>
        <w:t>Voor ons en omwille van ons heil</w:t>
      </w:r>
    </w:p>
    <w:p w:rsidR="000E7E8A" w:rsidRPr="002155DB" w:rsidRDefault="000E7E8A" w:rsidP="00BB6FA0">
      <w:pPr>
        <w:jc w:val="both"/>
        <w:rPr>
          <w:rFonts w:ascii="Arial" w:hAnsi="Arial" w:cs="Arial"/>
          <w:i/>
          <w:sz w:val="20"/>
          <w:szCs w:val="20"/>
        </w:rPr>
      </w:pPr>
    </w:p>
    <w:p w:rsidR="000E7E8A" w:rsidRPr="002155DB" w:rsidRDefault="000E7E8A" w:rsidP="00BB6FA0">
      <w:pPr>
        <w:jc w:val="both"/>
        <w:rPr>
          <w:rFonts w:ascii="Arial" w:hAnsi="Arial" w:cs="Arial"/>
          <w:sz w:val="20"/>
          <w:szCs w:val="20"/>
        </w:rPr>
      </w:pPr>
      <w:r w:rsidRPr="002155DB">
        <w:rPr>
          <w:rFonts w:ascii="Arial" w:hAnsi="Arial" w:cs="Arial"/>
          <w:iCs/>
          <w:color w:val="000000"/>
          <w:sz w:val="20"/>
          <w:szCs w:val="20"/>
        </w:rPr>
        <w:t>In de geloofsbelijdenis zeggen we dat Gods Zoon mens geworden is ‘voor ons, mensen, en omwille van ons heil’.</w:t>
      </w:r>
      <w:r w:rsidRPr="002155DB">
        <w:rPr>
          <w:rFonts w:ascii="Arial" w:hAnsi="Arial" w:cs="Arial"/>
          <w:b/>
          <w:iCs/>
          <w:color w:val="000000"/>
          <w:sz w:val="20"/>
          <w:szCs w:val="20"/>
        </w:rPr>
        <w:t xml:space="preserve"> </w:t>
      </w:r>
      <w:r w:rsidRPr="002155DB">
        <w:rPr>
          <w:rFonts w:ascii="Arial" w:hAnsi="Arial" w:cs="Arial"/>
          <w:iCs/>
          <w:color w:val="000000"/>
          <w:sz w:val="20"/>
          <w:szCs w:val="20"/>
        </w:rPr>
        <w:t xml:space="preserve">Hiermee verwoorden we net als bij het geloof in de Schepper een visie op God. De visie op God houdt in dat God geen niet-betrokken, onverschillige, afzijdige God is, die dan wel alles aan het begin geschapen heeft, maar verder niet meer bij zijn schepping en schepselen betrokken is. God is een God van mensen. God is </w:t>
      </w:r>
      <w:r w:rsidRPr="002155DB">
        <w:rPr>
          <w:rFonts w:ascii="Arial" w:hAnsi="Arial" w:cs="Arial"/>
          <w:i/>
          <w:iCs/>
          <w:color w:val="000000"/>
          <w:sz w:val="20"/>
          <w:szCs w:val="20"/>
        </w:rPr>
        <w:t xml:space="preserve">onze </w:t>
      </w:r>
      <w:r w:rsidRPr="002155DB">
        <w:rPr>
          <w:rFonts w:ascii="Arial" w:hAnsi="Arial" w:cs="Arial"/>
          <w:iCs/>
          <w:color w:val="000000"/>
          <w:sz w:val="20"/>
          <w:szCs w:val="20"/>
        </w:rPr>
        <w:t xml:space="preserve">God. </w:t>
      </w:r>
    </w:p>
    <w:p w:rsidR="000E7E8A" w:rsidRPr="002155DB" w:rsidRDefault="000E7E8A" w:rsidP="00BB6FA0">
      <w:pPr>
        <w:jc w:val="both"/>
        <w:rPr>
          <w:rFonts w:ascii="Arial" w:hAnsi="Arial" w:cs="Arial"/>
          <w:sz w:val="20"/>
          <w:szCs w:val="20"/>
        </w:rPr>
      </w:pPr>
    </w:p>
    <w:p w:rsidR="000E7E8A" w:rsidRPr="002155DB" w:rsidRDefault="000E7E8A" w:rsidP="00BB6FA0">
      <w:pPr>
        <w:ind w:right="-64"/>
        <w:jc w:val="both"/>
        <w:rPr>
          <w:rFonts w:ascii="Arial" w:hAnsi="Arial" w:cs="Arial"/>
          <w:sz w:val="20"/>
          <w:szCs w:val="20"/>
        </w:rPr>
      </w:pPr>
      <w:r w:rsidRPr="002155DB">
        <w:rPr>
          <w:rFonts w:ascii="Arial" w:hAnsi="Arial" w:cs="Arial"/>
          <w:sz w:val="20"/>
          <w:szCs w:val="20"/>
        </w:rPr>
        <w:t>Psalm 51 is de bekendste van de zogenaamde boetepsalmen. In een commentaar op de openingsregels van die psalm houdt Thomas van Aquino een lofzang op Gods grote en grenzeloze barmhartigheid. Hij noemt daarbij ook de menswording. Die barmhartigheid is zo groot, ‘omdat zij God mens laat worden, God uit de hemel op de aarde heeft geplaatst, en de onsterfelijke laat sterven.’</w:t>
      </w:r>
      <w:r w:rsidRPr="002155DB">
        <w:rPr>
          <w:rStyle w:val="FootnoteReference"/>
          <w:rFonts w:ascii="Arial" w:hAnsi="Arial" w:cs="Arial"/>
          <w:sz w:val="20"/>
          <w:szCs w:val="20"/>
        </w:rPr>
        <w:footnoteReference w:id="19"/>
      </w:r>
      <w:r w:rsidRPr="002155DB">
        <w:rPr>
          <w:rFonts w:ascii="Arial" w:hAnsi="Arial" w:cs="Arial"/>
          <w:sz w:val="20"/>
          <w:szCs w:val="20"/>
        </w:rPr>
        <w:t xml:space="preserve"> Thomas verwijst hierbij niet naar de tekst uit de brief aan Titus die we net geciteerd hebben, maar naar een andere tekst van Paulus: ‘Door zijn grote liefde voor ons heeft God, die rijk is aan barmhartigheid, ons die dood waren door onze overtredingen, met Christus ten leven gewekt. Aan zijn genade dankt u uw redding.’</w:t>
      </w:r>
      <w:r w:rsidRPr="002155DB">
        <w:rPr>
          <w:rStyle w:val="FootnoteReference"/>
          <w:rFonts w:ascii="Arial" w:hAnsi="Arial" w:cs="Arial"/>
          <w:sz w:val="20"/>
          <w:szCs w:val="20"/>
        </w:rPr>
        <w:footnoteReference w:id="20"/>
      </w:r>
      <w:r w:rsidRPr="002155DB">
        <w:rPr>
          <w:rFonts w:ascii="Arial" w:hAnsi="Arial" w:cs="Arial"/>
          <w:sz w:val="20"/>
          <w:szCs w:val="20"/>
        </w:rPr>
        <w:t xml:space="preserve"> ‘Aan zijn genade’. Hierbij moeten we niet de overwegend negatieve associaties, die genade in ons gewone spraakgebruik heeft gekregen, laten meeklinken (genade voor recht, genadebrood eten), maar de oorspronkelijke betekenis: een geschenk dat zomaar gegeven wordt.</w:t>
      </w:r>
      <w:r w:rsidRPr="002155DB">
        <w:rPr>
          <w:rStyle w:val="FootnoteReference"/>
          <w:rFonts w:ascii="Arial" w:hAnsi="Arial" w:cs="Arial"/>
          <w:sz w:val="20"/>
          <w:szCs w:val="20"/>
        </w:rPr>
        <w:footnoteReference w:id="21"/>
      </w:r>
      <w:r w:rsidRPr="002155DB">
        <w:rPr>
          <w:rFonts w:ascii="Arial" w:hAnsi="Arial" w:cs="Arial"/>
          <w:sz w:val="20"/>
          <w:szCs w:val="20"/>
        </w:rPr>
        <w:t xml:space="preserve"> Hier blijkt hoe belangrijk het is God niet te plaatsen in onze (economische) kaders van ‘voor wat hoort wat’.</w:t>
      </w:r>
    </w:p>
    <w:p w:rsidR="000E7E8A" w:rsidRPr="002155DB" w:rsidRDefault="000E7E8A" w:rsidP="00BB6FA0">
      <w:pPr>
        <w:jc w:val="both"/>
        <w:rPr>
          <w:rFonts w:ascii="Arial" w:hAnsi="Arial" w:cs="Arial"/>
          <w:iCs/>
          <w:color w:val="000000"/>
          <w:sz w:val="20"/>
          <w:szCs w:val="20"/>
        </w:rPr>
      </w:pPr>
    </w:p>
    <w:p w:rsidR="000E7E8A" w:rsidRPr="002155DB" w:rsidRDefault="000E7E8A" w:rsidP="00BB6FA0">
      <w:pPr>
        <w:jc w:val="both"/>
        <w:rPr>
          <w:rFonts w:ascii="Arial" w:hAnsi="Arial" w:cs="Arial"/>
          <w:sz w:val="20"/>
          <w:szCs w:val="20"/>
        </w:rPr>
      </w:pPr>
      <w:r w:rsidRPr="002155DB">
        <w:rPr>
          <w:rFonts w:ascii="Arial" w:hAnsi="Arial" w:cs="Arial"/>
          <w:iCs/>
          <w:color w:val="000000"/>
          <w:sz w:val="20"/>
          <w:szCs w:val="20"/>
        </w:rPr>
        <w:t xml:space="preserve">‘Voor ons, mensen, en omwille van ons heil’ houdt ook een visie op onszelf in: wij hebben </w:t>
      </w:r>
      <w:r w:rsidRPr="002155DB">
        <w:rPr>
          <w:rFonts w:ascii="Arial" w:hAnsi="Arial" w:cs="Arial"/>
          <w:sz w:val="20"/>
          <w:szCs w:val="20"/>
        </w:rPr>
        <w:t xml:space="preserve">heil en verlossing nodig. Dat wil zeggen: wij concrete menselijke personen zijn beschadigd, gemankeerd, bestaan en leven beneden ons niveau, komen onvoldoende tot ons recht. Of voluit gelovig geformuleerd: wij mensen zijn getekend door zonde.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In een verrassend eerlijke en ook wel onthutsende passage formuleert Paulus een al te herkenbare menselijke ervaring dat wat we willen niet doen en dat we doen wat we niet willen: ‘Ik doe niet het goede dat ik wil, maar het kwade dat ik niet wil.’</w:t>
      </w:r>
      <w:r w:rsidRPr="002155DB">
        <w:rPr>
          <w:rStyle w:val="FootnoteReference"/>
          <w:rFonts w:ascii="Arial" w:hAnsi="Arial" w:cs="Arial"/>
          <w:sz w:val="20"/>
          <w:szCs w:val="20"/>
        </w:rPr>
        <w:footnoteReference w:id="22"/>
      </w:r>
      <w:r w:rsidRPr="002155DB">
        <w:rPr>
          <w:rFonts w:ascii="Arial" w:hAnsi="Arial" w:cs="Arial"/>
          <w:sz w:val="20"/>
          <w:szCs w:val="20"/>
        </w:rPr>
        <w:t xml:space="preserve"> Paulus verwoordt hier een uitermate realistische kijk op ons mensen. Dat realistische karakter heeft niet alleen te maken met de herkenbare ervaring van tekortschieten en fouten maken (zondigen), maar ook met het gegeven dat in het geloof dat persoonlijke falen in verband wordt gebracht met de erfzonde. Erfzonde verwijst dan naar dat hele grijze gebied van kwaad dat weliswaar door menselijke beslissingen tot stand is gekomen, maar waarvoor niet iemand persoonlijk verantwoordelijk kan worden gesteld en dat ook niet als natuurlijk kwaad afgedaan kan worden. We noemen een aantal voorbeelden dat gemakkelijk uitgebreid kan worden: de huidige economische crisis, de bureaucratie, de rol van management in de zorgsector, de armoede, de milieuproblematiek, de sfeer in onze kerkgemeenschap waardoor het seksueel misbruik toegedekt kon worden. Die erfzondigheid bepaalt onze situatie en beperkt ons handelen. Het idee dat iemand op zijn of haar eentje die vormen van erfzondigheid kan bestrijden is een irreële gedachte. Daarvoor is hulp en inzet van anderen nodig, van een gemeenschap en uiteindelijk van God.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 xml:space="preserve">Maar dat lijkt in te gaan tegen diepe menselijke verlangens. Haast aangeboren lijkt ons verlangen te zijn op eigen benen te staan. Het hele proces van volwassen worden is precies dat: zelfstandig worden, het heft in handen nemen. Dat oer-verlangen wordt in onze maatschappij nog versterkt door het ideaal van zelfredzaamheid en dat ideaal wordt nog eens versterkt door de economische crisis en de bezuinigen op allerlei sociale voorzieningen. Maar in de visie op de mens die besloten ligt in de geloofsbelijdenis zit een fundamenteel element van het niet alleen kunnen en niet op zich kunnen, een erkenning dat we hulp nodig hebben.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Elke Witte Donderdag lezen we het verhaal van de voetwassing. In dat verhaal verzet Petrus zich en dat verzet is precies een verzet tegen geholpen te worden, tegen bediend te worden. Het is zijn eer te na, het is onze eer te na hulp te vragen, geholpen te worden, afhankelijk te zijn. Maar Jezus zegt zeer beslist dat wanneer Petrus volhardt in zijn verzet hij niet bij hem hoort.</w:t>
      </w:r>
      <w:r w:rsidRPr="002155DB">
        <w:rPr>
          <w:rStyle w:val="FootnoteReference"/>
          <w:rFonts w:ascii="Arial" w:hAnsi="Arial" w:cs="Arial"/>
          <w:sz w:val="20"/>
          <w:szCs w:val="20"/>
        </w:rPr>
        <w:footnoteReference w:id="23"/>
      </w:r>
      <w:r w:rsidRPr="002155DB">
        <w:rPr>
          <w:rFonts w:ascii="Arial" w:hAnsi="Arial" w:cs="Arial"/>
          <w:sz w:val="20"/>
          <w:szCs w:val="20"/>
        </w:rPr>
        <w:t xml:space="preserve"> Geholpen willen worden als levenshouding is een absolute voorwaarde voor het koninkrijk van God.</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b/>
          <w:i/>
          <w:sz w:val="20"/>
          <w:szCs w:val="20"/>
        </w:rPr>
      </w:pPr>
      <w:r>
        <w:rPr>
          <w:rFonts w:ascii="Arial" w:hAnsi="Arial" w:cs="Arial"/>
          <w:b/>
          <w:i/>
          <w:sz w:val="20"/>
          <w:szCs w:val="20"/>
        </w:rPr>
        <w:t>D</w:t>
      </w:r>
      <w:r w:rsidRPr="002155DB">
        <w:rPr>
          <w:rFonts w:ascii="Arial" w:hAnsi="Arial" w:cs="Arial"/>
          <w:b/>
          <w:i/>
          <w:sz w:val="20"/>
          <w:szCs w:val="20"/>
        </w:rPr>
        <w:t xml:space="preserve">ie heer is en het leven geeft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 xml:space="preserve">Op het Tweede Vaticaans Concilie is een uitleg van de term ‘Christen’ die in de vroege Kerk gegeven werd weer opgenomen. ‘Christen’ verwijst natuurlijk naar de titel ‘Christus’ die aan Jezus wordt gegeven. ‘Christus’ betekent Gezalfde, degene die met Gods Geest is gezalfd, de Messias. In het Oude Testament worden drie functies verbonden aan de zalving met Gods Geest: koning, priester en profeet. De Messias, de Gezalfde bij uitstek, combineert die drie functies.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Wanneer Jezus zich door Johannes laat dopen, klinkt niet alleen de stem uit de hemel die hem ‘Mijn Zoon’ noemt, maar daalt ook de Geest op hem neer en wordt zo geopenbaard dat hij de Gezalfde, de Christus is.</w:t>
      </w:r>
      <w:r w:rsidRPr="002155DB">
        <w:rPr>
          <w:rStyle w:val="FootnoteReference"/>
          <w:rFonts w:ascii="Arial" w:hAnsi="Arial" w:cs="Arial"/>
          <w:sz w:val="20"/>
          <w:szCs w:val="20"/>
        </w:rPr>
        <w:footnoteReference w:id="24"/>
      </w:r>
      <w:r w:rsidRPr="002155DB">
        <w:rPr>
          <w:rFonts w:ascii="Arial" w:hAnsi="Arial" w:cs="Arial"/>
          <w:sz w:val="20"/>
          <w:szCs w:val="20"/>
        </w:rPr>
        <w:t xml:space="preserve"> In de titel ‘Christus’ die aan Jezus gegeven wordt, zit dus de werkzaamheid van Gods Geest in zijn leven, sterven en verrijzen opgesloten. </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Maar in het Nieuwe Testament wordt die zalving met de Geest als het ware uitgebreid: het hele volk wordt gezalfd en wordt daardoor een volk van koningen, priesters en profeten.</w:t>
      </w:r>
      <w:r w:rsidRPr="002155DB">
        <w:rPr>
          <w:rStyle w:val="FootnoteReference"/>
          <w:rFonts w:ascii="Arial" w:hAnsi="Arial" w:cs="Arial"/>
          <w:sz w:val="20"/>
          <w:szCs w:val="20"/>
        </w:rPr>
        <w:footnoteReference w:id="25"/>
      </w:r>
      <w:r w:rsidRPr="002155DB">
        <w:rPr>
          <w:rFonts w:ascii="Arial" w:hAnsi="Arial" w:cs="Arial"/>
          <w:sz w:val="20"/>
          <w:szCs w:val="20"/>
        </w:rPr>
        <w:t xml:space="preserve"> Net als bij Jezus is die zalving met de Geest verbonden aan de doop. Door de doop zijn wij ‘christenen’ geworden. In het wetboek van de kerk, de Codex van 1983, worden wij dan ook, in lijn met het Tweede Vaticaans Concilie, gedefinieerd als christengelovigen die door hun doopsel deel hebben aan het koninklijke, priesterlijke en profetische ambt van Christus.</w:t>
      </w:r>
      <w:r w:rsidRPr="002155DB">
        <w:rPr>
          <w:rStyle w:val="FootnoteReference"/>
          <w:rFonts w:ascii="Arial" w:hAnsi="Arial" w:cs="Arial"/>
          <w:sz w:val="20"/>
          <w:szCs w:val="20"/>
        </w:rPr>
        <w:footnoteReference w:id="26"/>
      </w:r>
      <w:r w:rsidRPr="002155DB">
        <w:rPr>
          <w:rFonts w:ascii="Arial" w:hAnsi="Arial" w:cs="Arial"/>
          <w:sz w:val="20"/>
          <w:szCs w:val="20"/>
        </w:rPr>
        <w:t xml:space="preserve"> </w:t>
      </w:r>
      <w:r w:rsidRPr="002155DB">
        <w:rPr>
          <w:rFonts w:ascii="Arial" w:hAnsi="Arial" w:cs="Arial"/>
          <w:spacing w:val="-3"/>
          <w:sz w:val="20"/>
          <w:szCs w:val="20"/>
          <w:lang w:val="nl"/>
        </w:rPr>
        <w:t xml:space="preserve">Iedere gedoopte heeft daardoor een grote waardigheid en verantwoordelijkheid. </w:t>
      </w:r>
      <w:r w:rsidRPr="002155DB">
        <w:rPr>
          <w:rFonts w:ascii="Arial" w:hAnsi="Arial" w:cs="Arial"/>
          <w:sz w:val="20"/>
          <w:szCs w:val="20"/>
        </w:rPr>
        <w:t xml:space="preserve">Iedere christen is een </w:t>
      </w:r>
      <w:r w:rsidRPr="002155DB">
        <w:rPr>
          <w:rFonts w:ascii="Arial" w:hAnsi="Arial" w:cs="Arial"/>
          <w:spacing w:val="-3"/>
          <w:sz w:val="20"/>
          <w:szCs w:val="20"/>
          <w:lang w:val="nl"/>
        </w:rPr>
        <w:t>tempel van de Heilige Geest en dat heeft consequenties.</w:t>
      </w:r>
      <w:r w:rsidRPr="002155DB">
        <w:rPr>
          <w:rStyle w:val="FootnoteReference"/>
          <w:rFonts w:ascii="Arial" w:hAnsi="Arial" w:cs="Arial"/>
          <w:spacing w:val="-3"/>
          <w:sz w:val="20"/>
          <w:szCs w:val="20"/>
          <w:lang w:val="nl"/>
        </w:rPr>
        <w:footnoteReference w:id="27"/>
      </w:r>
      <w:r w:rsidRPr="002155DB">
        <w:rPr>
          <w:rFonts w:ascii="Arial" w:hAnsi="Arial" w:cs="Arial"/>
          <w:spacing w:val="-3"/>
          <w:sz w:val="20"/>
          <w:szCs w:val="20"/>
          <w:lang w:val="nl"/>
        </w:rPr>
        <w:t xml:space="preserve"> Een van de meest diepzinnige meditaties over die gevolgen is te vinden in de Pinkstersequens, </w:t>
      </w:r>
      <w:r w:rsidRPr="002155DB">
        <w:rPr>
          <w:rFonts w:ascii="Arial" w:hAnsi="Arial" w:cs="Arial"/>
          <w:i/>
          <w:sz w:val="20"/>
          <w:szCs w:val="20"/>
        </w:rPr>
        <w:t>Veni Sancte Spiritus</w:t>
      </w:r>
      <w:r w:rsidRPr="002155DB">
        <w:rPr>
          <w:rFonts w:ascii="Arial" w:hAnsi="Arial" w:cs="Arial"/>
          <w:sz w:val="20"/>
          <w:szCs w:val="20"/>
        </w:rPr>
        <w:t xml:space="preserve">. </w:t>
      </w:r>
    </w:p>
    <w:p w:rsidR="000E7E8A" w:rsidRPr="002155DB" w:rsidRDefault="000E7E8A" w:rsidP="00BB6FA0">
      <w:pPr>
        <w:jc w:val="both"/>
        <w:rPr>
          <w:rFonts w:ascii="Arial" w:hAnsi="Arial" w:cs="Arial"/>
          <w:sz w:val="20"/>
          <w:szCs w:val="20"/>
        </w:rPr>
      </w:pPr>
    </w:p>
    <w:p w:rsidR="000E7E8A" w:rsidRPr="002155DB" w:rsidRDefault="000E7E8A" w:rsidP="00BB6FA0">
      <w:pPr>
        <w:ind w:right="78"/>
        <w:jc w:val="both"/>
        <w:rPr>
          <w:rFonts w:ascii="Arial" w:hAnsi="Arial" w:cs="Arial"/>
          <w:sz w:val="20"/>
          <w:szCs w:val="20"/>
        </w:rPr>
      </w:pPr>
      <w:r w:rsidRPr="002155DB">
        <w:rPr>
          <w:rFonts w:ascii="Arial" w:hAnsi="Arial" w:cs="Arial"/>
          <w:sz w:val="20"/>
          <w:szCs w:val="20"/>
        </w:rPr>
        <w:t>In dat lied vragen wij de Heilige Geest om te komen en te geven. Gaven vraag je niet om ze vervolgens niet te gebruiken en een gast nodig je niet uit om hem of haar vervolgens geen aandacht te geven. Integendeel, een goede gastheer of gastvrouw laat zijn of haar doen en laten bepalen door die gast. Deze gast van de ziel bepaalt je diepste innerlijk. Deze gast van de ziel komt om te wonen. En met dit thema van de inwoning raken we het meest eigene maar ook het minst vanzelfsprekende en meest weerbarstige van onze geloofsbelijdenis: God die zo nabij is dat we al onze ideeën over God moeten herformuleren. Daarbij gaat het niet alleen om wat wel Gods eigenschappen worden genoemd (almacht, rechtvaardigheid, barmhartigheid), maar ook en vooral wie God is. We kunnen over Godzelf niet anders spreken dan over God Vader-Zoon-Geest. Eerder hebben we al gezegd dat dat de kern is van onze geloofsbelijdenis, maar die kern is ook het meest weerbarstige en minst vanzelfsprekende van ons geloof. Centraal daarbij staat de menswording Gods.</w:t>
      </w:r>
    </w:p>
    <w:p w:rsidR="000E7E8A" w:rsidRPr="002155DB" w:rsidRDefault="000E7E8A" w:rsidP="00BB6FA0">
      <w:pPr>
        <w:jc w:val="both"/>
        <w:rPr>
          <w:rFonts w:ascii="Arial" w:hAnsi="Arial" w:cs="Arial"/>
          <w:sz w:val="20"/>
          <w:szCs w:val="20"/>
        </w:rPr>
      </w:pPr>
    </w:p>
    <w:p w:rsidR="000E7E8A" w:rsidRPr="002155DB" w:rsidRDefault="000E7E8A" w:rsidP="00BB6FA0">
      <w:pPr>
        <w:ind w:right="78"/>
        <w:jc w:val="both"/>
        <w:rPr>
          <w:rFonts w:ascii="Arial" w:hAnsi="Arial" w:cs="Arial"/>
          <w:b/>
          <w:i/>
          <w:sz w:val="20"/>
          <w:szCs w:val="20"/>
        </w:rPr>
      </w:pPr>
      <w:r w:rsidRPr="002155DB">
        <w:rPr>
          <w:rFonts w:ascii="Arial" w:hAnsi="Arial" w:cs="Arial"/>
          <w:b/>
          <w:i/>
          <w:sz w:val="20"/>
          <w:szCs w:val="20"/>
        </w:rPr>
        <w:t>Voor ons … mens geworden</w:t>
      </w:r>
    </w:p>
    <w:p w:rsidR="000E7E8A" w:rsidRPr="002155DB" w:rsidRDefault="000E7E8A" w:rsidP="00BB6FA0">
      <w:pPr>
        <w:ind w:right="78"/>
        <w:jc w:val="both"/>
        <w:rPr>
          <w:rFonts w:ascii="Arial" w:hAnsi="Arial" w:cs="Arial"/>
          <w:sz w:val="20"/>
          <w:szCs w:val="20"/>
        </w:rPr>
      </w:pPr>
    </w:p>
    <w:p w:rsidR="000E7E8A" w:rsidRPr="002155DB" w:rsidRDefault="000E7E8A" w:rsidP="00BB6FA0">
      <w:pPr>
        <w:ind w:right="78"/>
        <w:jc w:val="both"/>
        <w:rPr>
          <w:rFonts w:ascii="Arial" w:hAnsi="Arial" w:cs="Arial"/>
          <w:sz w:val="20"/>
          <w:szCs w:val="20"/>
        </w:rPr>
      </w:pPr>
      <w:r w:rsidRPr="002155DB">
        <w:rPr>
          <w:rFonts w:ascii="Arial" w:hAnsi="Arial" w:cs="Arial"/>
          <w:sz w:val="20"/>
          <w:szCs w:val="20"/>
        </w:rPr>
        <w:t>God is mens geworden. We kunnen dus niet meer over God spreken zonder over de mens te spreken en we kunnen niet meer over de mens spreken zonder over God te spreken.</w:t>
      </w:r>
      <w:r w:rsidRPr="002155DB">
        <w:rPr>
          <w:rStyle w:val="FootnoteReference"/>
          <w:rFonts w:ascii="Arial" w:hAnsi="Arial" w:cs="Arial"/>
          <w:sz w:val="20"/>
          <w:szCs w:val="20"/>
        </w:rPr>
        <w:footnoteReference w:id="28"/>
      </w:r>
      <w:r w:rsidRPr="002155DB">
        <w:rPr>
          <w:rFonts w:ascii="Arial" w:hAnsi="Arial" w:cs="Arial"/>
          <w:sz w:val="20"/>
          <w:szCs w:val="20"/>
        </w:rPr>
        <w:t xml:space="preserve"> Als we over God spreken zijn we haast van nature gewend God hoog en ver weg te plaatsen. Hoe begrijpelijk die eerbied voor de hoogheid en transcendentie Gods ook is, door de inwoning van de Geest en vooral door de menswording van de Zoon moeten we anders over God denken en spreken. De menswording Gods stelt onze gewone opvattingen over God ter discussie. Het verzet in Nazareth is een verzet tegen de gewoonheid van de menswording.</w:t>
      </w:r>
      <w:r w:rsidRPr="002155DB">
        <w:rPr>
          <w:rStyle w:val="FootnoteReference"/>
          <w:rFonts w:ascii="Arial" w:hAnsi="Arial" w:cs="Arial"/>
          <w:sz w:val="20"/>
          <w:szCs w:val="20"/>
        </w:rPr>
        <w:footnoteReference w:id="29"/>
      </w:r>
    </w:p>
    <w:p w:rsidR="000E7E8A" w:rsidRPr="002155DB" w:rsidRDefault="000E7E8A" w:rsidP="00BB6FA0">
      <w:pPr>
        <w:ind w:right="78"/>
        <w:jc w:val="both"/>
        <w:rPr>
          <w:rFonts w:ascii="Arial" w:hAnsi="Arial" w:cs="Arial"/>
          <w:sz w:val="20"/>
          <w:szCs w:val="20"/>
        </w:rPr>
      </w:pPr>
    </w:p>
    <w:p w:rsidR="000E7E8A" w:rsidRPr="002155DB" w:rsidRDefault="000E7E8A" w:rsidP="00BB6FA0">
      <w:pPr>
        <w:ind w:right="78"/>
        <w:jc w:val="both"/>
        <w:rPr>
          <w:rFonts w:ascii="Arial" w:hAnsi="Arial" w:cs="Arial"/>
          <w:b/>
          <w:sz w:val="20"/>
          <w:szCs w:val="20"/>
        </w:rPr>
      </w:pPr>
      <w:r w:rsidRPr="002155DB">
        <w:rPr>
          <w:rFonts w:ascii="Arial" w:hAnsi="Arial" w:cs="Arial"/>
          <w:b/>
          <w:sz w:val="20"/>
          <w:szCs w:val="20"/>
        </w:rPr>
        <w:t>Een uitnodiging tot vertrouwelijkheid</w:t>
      </w:r>
    </w:p>
    <w:p w:rsidR="000E7E8A" w:rsidRPr="002155DB" w:rsidRDefault="000E7E8A" w:rsidP="00BB6FA0">
      <w:pPr>
        <w:ind w:right="78"/>
        <w:jc w:val="both"/>
        <w:rPr>
          <w:rFonts w:ascii="Arial" w:hAnsi="Arial" w:cs="Arial"/>
          <w:sz w:val="20"/>
          <w:szCs w:val="20"/>
        </w:rPr>
      </w:pPr>
    </w:p>
    <w:p w:rsidR="000E7E8A" w:rsidRPr="002155DB" w:rsidRDefault="000E7E8A" w:rsidP="00BB6FA0">
      <w:pPr>
        <w:ind w:right="78"/>
        <w:jc w:val="both"/>
        <w:rPr>
          <w:rFonts w:ascii="Arial" w:hAnsi="Arial" w:cs="Arial"/>
          <w:sz w:val="20"/>
          <w:szCs w:val="20"/>
        </w:rPr>
      </w:pPr>
      <w:r w:rsidRPr="002155DB">
        <w:rPr>
          <w:rFonts w:ascii="Arial" w:hAnsi="Arial" w:cs="Arial"/>
          <w:sz w:val="20"/>
          <w:szCs w:val="20"/>
        </w:rPr>
        <w:t>Zoals we al zeiden vanaf het begin heeft de Kerk geworsteld met de menswording Gods en de discussies in de vroege Kerk - waar onze geloofsbelijdenis een onderdeel van is - hebben alle te maken met de weerbarstigheid van de menswording Gods. Als we het zo formuleren, lijkt die weerbarstigheid enkel met onze ideeën over God te maken te hebben, maar er zit ook nog een andere kant aan. Die weerbarstigheid heeft zeker met onze ideeën over God te maken, maar ook met onze ideeën over onszelf. In de proloog van het Johannes evangelie wordt die andere kant zo verwoord: ‘Aan diegenen die Hem toch opnamen, heeft Hij het vermogen gegeven om kinderen te worden van God: aan hen die geloven in zijn naam. Niet langs de weg van het bloed, niet door de begeerte van het vlees of door mannelijk streven, maar uit God zijn ze geboren.’</w:t>
      </w:r>
      <w:r w:rsidRPr="002155DB">
        <w:rPr>
          <w:rStyle w:val="FootnoteReference"/>
          <w:rFonts w:ascii="Arial" w:hAnsi="Arial" w:cs="Arial"/>
          <w:sz w:val="20"/>
          <w:szCs w:val="20"/>
        </w:rPr>
        <w:footnoteReference w:id="30"/>
      </w:r>
      <w:r w:rsidRPr="002155DB">
        <w:rPr>
          <w:rFonts w:ascii="Arial" w:hAnsi="Arial" w:cs="Arial"/>
          <w:sz w:val="20"/>
          <w:szCs w:val="20"/>
        </w:rPr>
        <w:t xml:space="preserve"> En in de tweede brief van Petrus wordt gesproken over ‘deel krijgen aan Gods eigen wezen’.</w:t>
      </w:r>
      <w:r w:rsidRPr="002155DB">
        <w:rPr>
          <w:rStyle w:val="FootnoteReference"/>
          <w:rFonts w:ascii="Arial" w:hAnsi="Arial" w:cs="Arial"/>
          <w:sz w:val="20"/>
          <w:szCs w:val="20"/>
        </w:rPr>
        <w:footnoteReference w:id="31"/>
      </w:r>
      <w:r w:rsidRPr="002155DB">
        <w:rPr>
          <w:rFonts w:ascii="Arial" w:hAnsi="Arial" w:cs="Arial"/>
          <w:sz w:val="20"/>
          <w:szCs w:val="20"/>
        </w:rPr>
        <w:t xml:space="preserve"> </w:t>
      </w:r>
    </w:p>
    <w:p w:rsidR="000E7E8A" w:rsidRPr="002155DB" w:rsidRDefault="000E7E8A" w:rsidP="00BB6FA0">
      <w:pPr>
        <w:ind w:right="78"/>
        <w:jc w:val="both"/>
        <w:rPr>
          <w:rFonts w:ascii="Arial" w:hAnsi="Arial" w:cs="Arial"/>
          <w:sz w:val="20"/>
          <w:szCs w:val="20"/>
        </w:rPr>
      </w:pPr>
    </w:p>
    <w:p w:rsidR="000E7E8A" w:rsidRPr="002155DB" w:rsidRDefault="000E7E8A" w:rsidP="00CA461E">
      <w:pPr>
        <w:ind w:right="78"/>
        <w:jc w:val="both"/>
        <w:rPr>
          <w:rFonts w:ascii="Arial" w:hAnsi="Arial" w:cs="Arial"/>
          <w:sz w:val="20"/>
          <w:szCs w:val="20"/>
        </w:rPr>
      </w:pPr>
      <w:r w:rsidRPr="002155DB">
        <w:rPr>
          <w:rFonts w:ascii="Arial" w:hAnsi="Arial" w:cs="Arial"/>
          <w:sz w:val="20"/>
          <w:szCs w:val="20"/>
        </w:rPr>
        <w:t>Bij de kerkvaders wordt hiervoor het beeld van de ruil gebruikt: God wordt mens opdat de mens vergoddelijkt kan worden.</w:t>
      </w:r>
      <w:r w:rsidRPr="002155DB">
        <w:rPr>
          <w:rStyle w:val="FootnoteReference"/>
          <w:rFonts w:ascii="Arial" w:hAnsi="Arial" w:cs="Arial"/>
          <w:sz w:val="20"/>
          <w:szCs w:val="20"/>
        </w:rPr>
        <w:footnoteReference w:id="32"/>
      </w:r>
      <w:r w:rsidRPr="002155DB">
        <w:rPr>
          <w:rFonts w:ascii="Arial" w:hAnsi="Arial" w:cs="Arial"/>
          <w:sz w:val="20"/>
          <w:szCs w:val="20"/>
        </w:rPr>
        <w:t xml:space="preserve"> Maar dan gaat het wel over een ‘bewonderenswaardige’ ruil, een ruil die niet in onze verwachtingskaders past. Het belang van die wonderbaarlijke ruil blijkt uit het gebed dat de priester in elke eucharistieviering bidt bij het klaarmaken van de gaven wanneer hij water bij de wijn doet: ‘Gij deelt ons mens-zijn en gij neemt ons op in uw goddelijk leven.’ </w:t>
      </w:r>
      <w:r w:rsidRPr="002155DB">
        <w:rPr>
          <w:rStyle w:val="FootnoteReference"/>
          <w:rFonts w:ascii="Arial" w:hAnsi="Arial" w:cs="Arial"/>
          <w:sz w:val="20"/>
          <w:szCs w:val="20"/>
        </w:rPr>
        <w:footnoteReference w:id="33"/>
      </w:r>
      <w:r w:rsidRPr="002155DB">
        <w:rPr>
          <w:rFonts w:ascii="Arial" w:hAnsi="Arial" w:cs="Arial"/>
          <w:sz w:val="20"/>
          <w:szCs w:val="20"/>
        </w:rPr>
        <w:t xml:space="preserve"> Wij worden door God uitgenodigd tot een vertrouwelijke en intieme omgang. Wij hebben de Geest ontvangen die in ons </w:t>
      </w:r>
      <w:r w:rsidRPr="002155DB">
        <w:rPr>
          <w:rFonts w:ascii="Arial" w:hAnsi="Arial" w:cs="Arial"/>
          <w:i/>
          <w:sz w:val="20"/>
          <w:szCs w:val="20"/>
        </w:rPr>
        <w:t>Abba</w:t>
      </w:r>
      <w:r w:rsidRPr="002155DB">
        <w:rPr>
          <w:rFonts w:ascii="Arial" w:hAnsi="Arial" w:cs="Arial"/>
          <w:sz w:val="20"/>
          <w:szCs w:val="20"/>
        </w:rPr>
        <w:t xml:space="preserve"> Vader bidt, het gebed dat Jezus bad en zijn leerlingen leerde. </w:t>
      </w:r>
      <w:r w:rsidRPr="002155DB">
        <w:rPr>
          <w:rStyle w:val="FootnoteReference"/>
          <w:rFonts w:ascii="Arial" w:hAnsi="Arial" w:cs="Arial"/>
          <w:sz w:val="20"/>
          <w:szCs w:val="20"/>
        </w:rPr>
        <w:footnoteReference w:id="34"/>
      </w:r>
      <w:r w:rsidRPr="002155DB">
        <w:rPr>
          <w:rFonts w:ascii="Arial" w:hAnsi="Arial" w:cs="Arial"/>
          <w:sz w:val="20"/>
          <w:szCs w:val="20"/>
        </w:rPr>
        <w:t xml:space="preserve"> Die deelname, dat kind-zijn van God tekent ons als gedoopten ‘in de naam van de Vader en van de Zoon en van de Heilige Geest’.</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b/>
          <w:i/>
          <w:sz w:val="20"/>
          <w:szCs w:val="20"/>
        </w:rPr>
      </w:pPr>
      <w:r w:rsidRPr="002155DB">
        <w:rPr>
          <w:rFonts w:ascii="Arial" w:hAnsi="Arial" w:cs="Arial"/>
          <w:b/>
          <w:i/>
          <w:sz w:val="20"/>
          <w:szCs w:val="20"/>
        </w:rPr>
        <w:t>Pasen</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De verrezen Heer bezoekt op Paasavond de angstige en opgesloten leerlingen. De apostel Thomas is daar niet bij. Als hij de enthousiaste verhalen van de andere leerlingen hoort, reageert hij afwijzend. Hij kan pas geloven als hij de tekenen van het lijden in de verrezen Heer kan zien. Wanneer Jezus een week later weer bij zijn leerlingen komt, is Thomas wel aanwezig en ziet hij die tekenen. Hij belijdt dan zijn geloof: ‘mijn Heer en mijn God’.</w:t>
      </w:r>
      <w:r w:rsidRPr="002155DB">
        <w:rPr>
          <w:rStyle w:val="FootnoteReference"/>
          <w:rFonts w:ascii="Arial" w:hAnsi="Arial" w:cs="Arial"/>
          <w:sz w:val="20"/>
          <w:szCs w:val="20"/>
        </w:rPr>
        <w:footnoteReference w:id="35"/>
      </w:r>
      <w:r w:rsidRPr="002155DB">
        <w:rPr>
          <w:rFonts w:ascii="Arial" w:hAnsi="Arial" w:cs="Arial"/>
          <w:sz w:val="20"/>
          <w:szCs w:val="20"/>
        </w:rPr>
        <w:t xml:space="preserve"> Die andere leerlingen hebben Thomas niet buiten gesloten omdat hij vragen had, Thomas is niet weg gebleven omdat hij twijfels had. Zo kon hij binnen die gemeenschap groeien in geloof. Wij hopen dat ook onze geloofsgemeenschap de uitnodigende omgeving mag zijn waarin mensen kunnen groeien in geloof. Wij hopen dat deze vasten ons allen toe leidt naar ‘de poort van het geloof’ en dat wij allen in de hernieuwing van onze doopbeloften die vertrouwelijke omgang mogen vinden met God Vader-Zoon-Heilige Geest die ons verdiept en verbindt.</w:t>
      </w: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p>
    <w:p w:rsidR="000E7E8A" w:rsidRPr="002155DB" w:rsidRDefault="000E7E8A" w:rsidP="00BB6FA0">
      <w:pPr>
        <w:jc w:val="both"/>
        <w:rPr>
          <w:rFonts w:ascii="Arial" w:hAnsi="Arial" w:cs="Arial"/>
          <w:sz w:val="20"/>
          <w:szCs w:val="20"/>
        </w:rPr>
      </w:pPr>
      <w:r w:rsidRPr="002155DB">
        <w:rPr>
          <w:rFonts w:ascii="Arial" w:hAnsi="Arial" w:cs="Arial"/>
          <w:sz w:val="20"/>
          <w:szCs w:val="20"/>
        </w:rPr>
        <w:t>Utrecht, 4 februari 2013</w:t>
      </w:r>
    </w:p>
    <w:p w:rsidR="000E7E8A" w:rsidRPr="00D3263A" w:rsidRDefault="000E7E8A" w:rsidP="00BB6FA0">
      <w:pPr>
        <w:jc w:val="both"/>
        <w:rPr>
          <w:rFonts w:ascii="Arial" w:hAnsi="Arial" w:cs="Arial"/>
          <w:sz w:val="20"/>
          <w:szCs w:val="20"/>
        </w:rPr>
      </w:pPr>
      <w:r w:rsidRPr="00D3263A">
        <w:rPr>
          <w:rFonts w:ascii="Arial" w:hAnsi="Arial" w:cs="Arial"/>
          <w:sz w:val="20"/>
          <w:szCs w:val="20"/>
        </w:rPr>
        <w:t xml:space="preserve">De bisschoppen van Nederland </w:t>
      </w:r>
    </w:p>
    <w:sectPr w:rsidR="000E7E8A" w:rsidRPr="00D3263A" w:rsidSect="00777AA9">
      <w:footerReference w:type="even" r:id="rId6"/>
      <w:footerReference w:type="default" r:id="rId7"/>
      <w:pgSz w:w="11900" w:h="16840"/>
      <w:pgMar w:top="1440" w:right="1797" w:bottom="107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E8A" w:rsidRDefault="000E7E8A" w:rsidP="00D348AA">
      <w:r>
        <w:separator/>
      </w:r>
    </w:p>
  </w:endnote>
  <w:endnote w:type="continuationSeparator" w:id="0">
    <w:p w:rsidR="000E7E8A" w:rsidRDefault="000E7E8A" w:rsidP="00D348A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8A" w:rsidRDefault="000E7E8A" w:rsidP="00D34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7E8A" w:rsidRDefault="000E7E8A" w:rsidP="00D348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8A" w:rsidRDefault="000E7E8A" w:rsidP="00D34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E7E8A" w:rsidRDefault="000E7E8A" w:rsidP="00D348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E8A" w:rsidRDefault="000E7E8A" w:rsidP="00D348AA">
      <w:r>
        <w:separator/>
      </w:r>
    </w:p>
  </w:footnote>
  <w:footnote w:type="continuationSeparator" w:id="0">
    <w:p w:rsidR="000E7E8A" w:rsidRDefault="000E7E8A" w:rsidP="00D348AA">
      <w:r>
        <w:continuationSeparator/>
      </w:r>
    </w:p>
  </w:footnote>
  <w:footnote w:id="1">
    <w:p w:rsidR="000E7E8A" w:rsidRDefault="000E7E8A">
      <w:pPr>
        <w:pStyle w:val="FootnoteText"/>
      </w:pPr>
      <w:r>
        <w:rPr>
          <w:rStyle w:val="FootnoteReference"/>
        </w:rPr>
        <w:footnoteRef/>
      </w:r>
      <w:r>
        <w:t xml:space="preserve"> </w:t>
      </w:r>
      <w:r w:rsidRPr="00A97634">
        <w:rPr>
          <w:rFonts w:ascii="Times New Roman" w:hAnsi="Times New Roman"/>
          <w:sz w:val="20"/>
          <w:szCs w:val="20"/>
        </w:rPr>
        <w:t xml:space="preserve">Hand 14,27. De paus gebruikt deze </w:t>
      </w:r>
      <w:r>
        <w:rPr>
          <w:rFonts w:ascii="Times New Roman" w:hAnsi="Times New Roman"/>
          <w:sz w:val="20"/>
          <w:szCs w:val="20"/>
        </w:rPr>
        <w:t xml:space="preserve">beeldende </w:t>
      </w:r>
      <w:r w:rsidRPr="00A97634">
        <w:rPr>
          <w:rFonts w:ascii="Times New Roman" w:hAnsi="Times New Roman"/>
          <w:sz w:val="20"/>
          <w:szCs w:val="20"/>
        </w:rPr>
        <w:t xml:space="preserve">formulering als titel voor zijn </w:t>
      </w:r>
      <w:r w:rsidRPr="007C3A53">
        <w:rPr>
          <w:rFonts w:ascii="Times New Roman" w:hAnsi="Times New Roman"/>
          <w:i/>
          <w:sz w:val="20"/>
          <w:szCs w:val="20"/>
        </w:rPr>
        <w:t>motu</w:t>
      </w:r>
      <w:r w:rsidRPr="00A97634">
        <w:rPr>
          <w:rFonts w:ascii="Times New Roman" w:hAnsi="Times New Roman"/>
          <w:sz w:val="20"/>
          <w:szCs w:val="20"/>
        </w:rPr>
        <w:t xml:space="preserve"> </w:t>
      </w:r>
      <w:r w:rsidRPr="007C3A53">
        <w:rPr>
          <w:rFonts w:ascii="Times New Roman" w:hAnsi="Times New Roman"/>
          <w:i/>
          <w:sz w:val="20"/>
          <w:szCs w:val="20"/>
        </w:rPr>
        <w:t>proprio</w:t>
      </w:r>
      <w:r w:rsidRPr="00A97634">
        <w:rPr>
          <w:rFonts w:ascii="Times New Roman" w:hAnsi="Times New Roman"/>
          <w:sz w:val="20"/>
          <w:szCs w:val="20"/>
        </w:rPr>
        <w:t xml:space="preserve"> w</w:t>
      </w:r>
      <w:r>
        <w:rPr>
          <w:rFonts w:ascii="Times New Roman" w:hAnsi="Times New Roman"/>
          <w:sz w:val="20"/>
          <w:szCs w:val="20"/>
        </w:rPr>
        <w:t>aarin hij het Jaar van het Geloof uitroept (</w:t>
      </w:r>
      <w:r w:rsidRPr="00A97634">
        <w:rPr>
          <w:rFonts w:ascii="Times New Roman" w:hAnsi="Times New Roman"/>
          <w:sz w:val="20"/>
          <w:szCs w:val="20"/>
        </w:rPr>
        <w:t>11 okt. 2011) (www.rkdocumenten.nl)</w:t>
      </w:r>
      <w:r>
        <w:rPr>
          <w:rFonts w:ascii="Times New Roman" w:hAnsi="Times New Roman"/>
          <w:sz w:val="20"/>
          <w:szCs w:val="20"/>
        </w:rPr>
        <w:t>.</w:t>
      </w:r>
    </w:p>
  </w:footnote>
  <w:footnote w:id="2">
    <w:p w:rsidR="000E7E8A" w:rsidRDefault="000E7E8A">
      <w:pPr>
        <w:pStyle w:val="FootnoteText"/>
      </w:pPr>
      <w:r w:rsidRPr="00F65707">
        <w:rPr>
          <w:rStyle w:val="FootnoteReference"/>
          <w:rFonts w:ascii="Times New Roman" w:hAnsi="Times New Roman"/>
          <w:sz w:val="20"/>
          <w:szCs w:val="20"/>
        </w:rPr>
        <w:footnoteRef/>
      </w:r>
      <w:r w:rsidRPr="00F65707">
        <w:rPr>
          <w:rFonts w:ascii="Times New Roman" w:hAnsi="Times New Roman"/>
          <w:sz w:val="20"/>
          <w:szCs w:val="20"/>
        </w:rPr>
        <w:t xml:space="preserve"> Rom 10. 14vv.</w:t>
      </w:r>
    </w:p>
  </w:footnote>
  <w:footnote w:id="3">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w:t>
      </w:r>
      <w:smartTag w:uri="urn:schemas-microsoft-com:office:smarttags" w:element="metricconverter">
        <w:smartTagPr>
          <w:attr w:name="ProductID" w:val="1 Pt"/>
        </w:smartTagPr>
        <w:r w:rsidRPr="00FE1C43">
          <w:rPr>
            <w:rFonts w:ascii="Times New Roman" w:hAnsi="Times New Roman"/>
            <w:sz w:val="20"/>
            <w:szCs w:val="20"/>
          </w:rPr>
          <w:t>1 Pt</w:t>
        </w:r>
      </w:smartTag>
      <w:r w:rsidRPr="00FE1C43">
        <w:rPr>
          <w:rFonts w:ascii="Times New Roman" w:hAnsi="Times New Roman"/>
          <w:sz w:val="20"/>
          <w:szCs w:val="20"/>
        </w:rPr>
        <w:t xml:space="preserve"> 3, 15.</w:t>
      </w:r>
    </w:p>
  </w:footnote>
  <w:footnote w:id="4">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Rom 6,3-6.</w:t>
      </w:r>
    </w:p>
  </w:footnote>
  <w:footnote w:id="5">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Mt 28,19.</w:t>
      </w:r>
    </w:p>
  </w:footnote>
  <w:footnote w:id="6">
    <w:p w:rsidR="000E7E8A" w:rsidRDefault="000E7E8A" w:rsidP="00A5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Zie bijvoorbeeld Augustinus,</w:t>
      </w:r>
      <w:r>
        <w:rPr>
          <w:rFonts w:ascii="Times New Roman" w:hAnsi="Times New Roman"/>
          <w:sz w:val="20"/>
          <w:szCs w:val="20"/>
        </w:rPr>
        <w:t xml:space="preserve"> </w:t>
      </w:r>
      <w:r w:rsidRPr="00FE1C43">
        <w:rPr>
          <w:rFonts w:ascii="Times New Roman" w:hAnsi="Times New Roman"/>
          <w:i/>
          <w:sz w:val="20"/>
          <w:szCs w:val="20"/>
        </w:rPr>
        <w:t>In Evangelium Johannis Tractatus CXXIV</w:t>
      </w:r>
      <w:r w:rsidRPr="00FE1C43">
        <w:rPr>
          <w:rFonts w:ascii="Times New Roman" w:hAnsi="Times New Roman"/>
          <w:sz w:val="20"/>
          <w:szCs w:val="20"/>
        </w:rPr>
        <w:t xml:space="preserve">, tract. 29.6; Thomas van Aquino </w:t>
      </w:r>
      <w:r w:rsidRPr="00FE1C43">
        <w:rPr>
          <w:rFonts w:ascii="Times New Roman" w:hAnsi="Times New Roman"/>
          <w:i/>
          <w:sz w:val="20"/>
          <w:szCs w:val="20"/>
        </w:rPr>
        <w:t>Summa Theol</w:t>
      </w:r>
      <w:r w:rsidRPr="00FE1C43">
        <w:rPr>
          <w:rFonts w:ascii="Times New Roman" w:hAnsi="Times New Roman"/>
          <w:sz w:val="20"/>
          <w:szCs w:val="20"/>
        </w:rPr>
        <w:t>. II.II, q. 1 a. 9, obj. 5.</w:t>
      </w:r>
    </w:p>
  </w:footnote>
  <w:footnote w:id="7">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w:t>
      </w:r>
      <w:r>
        <w:rPr>
          <w:rFonts w:ascii="Times New Roman" w:hAnsi="Times New Roman"/>
          <w:sz w:val="20"/>
          <w:szCs w:val="20"/>
        </w:rPr>
        <w:t>‘</w:t>
      </w:r>
      <w:r w:rsidRPr="00FE1C43">
        <w:rPr>
          <w:rFonts w:ascii="Times New Roman" w:hAnsi="Times New Roman"/>
          <w:sz w:val="20"/>
          <w:szCs w:val="20"/>
        </w:rPr>
        <w:t>Wanneer dat ‘in’ ook bij de Kerk gebruikt wordt is sprake van een corrupte tekst, zoals paus Leo dat al opmerkte; wanneer die tekst toch gebruikt wordt moeten we het zo verstaan dat we daarmee uitdrukken dat de Heilige Geest in de Kerk werkt.</w:t>
      </w:r>
      <w:r>
        <w:rPr>
          <w:rFonts w:ascii="Times New Roman" w:hAnsi="Times New Roman"/>
          <w:sz w:val="20"/>
          <w:szCs w:val="20"/>
        </w:rPr>
        <w:t>’</w:t>
      </w:r>
      <w:r w:rsidRPr="00FE1C43">
        <w:rPr>
          <w:rFonts w:ascii="Times New Roman" w:hAnsi="Times New Roman"/>
          <w:sz w:val="20"/>
          <w:szCs w:val="20"/>
        </w:rPr>
        <w:t xml:space="preserve"> Thomas van Aquino, </w:t>
      </w:r>
      <w:r w:rsidRPr="00FE1C43">
        <w:rPr>
          <w:rFonts w:ascii="Times New Roman" w:hAnsi="Times New Roman"/>
          <w:i/>
          <w:sz w:val="20"/>
          <w:szCs w:val="20"/>
        </w:rPr>
        <w:t>Summa Theol</w:t>
      </w:r>
      <w:r w:rsidRPr="00FE1C43">
        <w:rPr>
          <w:rFonts w:ascii="Times New Roman" w:hAnsi="Times New Roman"/>
          <w:sz w:val="20"/>
          <w:szCs w:val="20"/>
        </w:rPr>
        <w:t>. II.II, q. 1 a. 9 ad 5m.</w:t>
      </w:r>
    </w:p>
  </w:footnote>
  <w:footnote w:id="8">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Joh 14,10-11.</w:t>
      </w:r>
    </w:p>
  </w:footnote>
  <w:footnote w:id="9">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vgl. bijv. Lc 4, 22.28-29.</w:t>
      </w:r>
    </w:p>
  </w:footnote>
  <w:footnote w:id="10">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Joh 1,4; vgl. ook het weglopen van de leerlingen na de zog. Broodrede: 6, 60.66.</w:t>
      </w:r>
    </w:p>
  </w:footnote>
  <w:footnote w:id="11">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vgl. ook</w:t>
      </w:r>
      <w:r>
        <w:rPr>
          <w:rFonts w:ascii="Times New Roman" w:hAnsi="Times New Roman"/>
          <w:sz w:val="20"/>
          <w:szCs w:val="20"/>
        </w:rPr>
        <w:t xml:space="preserve"> </w:t>
      </w:r>
      <w:r w:rsidRPr="00FE1C43">
        <w:rPr>
          <w:rFonts w:ascii="Times New Roman" w:hAnsi="Times New Roman"/>
          <w:sz w:val="20"/>
          <w:szCs w:val="20"/>
        </w:rPr>
        <w:t xml:space="preserve">hoe in Hand 6 en 7 de lotgevallen van Stefanus worden beschreven. </w:t>
      </w:r>
    </w:p>
  </w:footnote>
  <w:footnote w:id="12">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Het geloof in God de schepper van hemel en aarde delen we met Joden en Moslims, het geloof in de menswording van de Zoon en de inwoning van de Heilige Geest niet.</w:t>
      </w:r>
    </w:p>
  </w:footnote>
  <w:footnote w:id="13">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Gen. 1,1- 2,4a.</w:t>
      </w:r>
    </w:p>
  </w:footnote>
  <w:footnote w:id="14">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In de traditie wordt dit kort samengevat met: </w:t>
      </w:r>
      <w:r w:rsidRPr="00FE1C43">
        <w:rPr>
          <w:rFonts w:ascii="Times New Roman" w:hAnsi="Times New Roman"/>
          <w:i/>
          <w:sz w:val="20"/>
          <w:szCs w:val="20"/>
        </w:rPr>
        <w:t>creatio ex nihilo</w:t>
      </w:r>
      <w:r w:rsidRPr="00FE1C43">
        <w:rPr>
          <w:rFonts w:ascii="Times New Roman" w:hAnsi="Times New Roman"/>
          <w:sz w:val="20"/>
          <w:szCs w:val="20"/>
        </w:rPr>
        <w:t>, scheppen uit niets.</w:t>
      </w:r>
    </w:p>
  </w:footnote>
  <w:footnote w:id="15">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Mt 20,1-15.</w:t>
      </w:r>
    </w:p>
  </w:footnote>
  <w:footnote w:id="16">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Lc 15,11-32.</w:t>
      </w:r>
    </w:p>
  </w:footnote>
  <w:footnote w:id="17">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Rom 5,8.</w:t>
      </w:r>
    </w:p>
  </w:footnote>
  <w:footnote w:id="18">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Tit </w:t>
      </w:r>
      <w:r w:rsidRPr="00FE1C43">
        <w:rPr>
          <w:rFonts w:ascii="Times New Roman" w:hAnsi="Times New Roman"/>
          <w:iCs/>
          <w:color w:val="000000"/>
          <w:sz w:val="20"/>
          <w:szCs w:val="20"/>
        </w:rPr>
        <w:t>3,4-5.</w:t>
      </w:r>
    </w:p>
  </w:footnote>
  <w:footnote w:id="19">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Thomas van Aquino, </w:t>
      </w:r>
      <w:r w:rsidRPr="00FE1C43">
        <w:rPr>
          <w:rFonts w:ascii="Times New Roman" w:hAnsi="Times New Roman"/>
          <w:i/>
          <w:sz w:val="20"/>
          <w:szCs w:val="20"/>
        </w:rPr>
        <w:t>Super Psalmo 50</w:t>
      </w:r>
      <w:r w:rsidRPr="00FE1C43">
        <w:rPr>
          <w:rFonts w:ascii="Times New Roman" w:hAnsi="Times New Roman"/>
          <w:sz w:val="20"/>
          <w:szCs w:val="20"/>
        </w:rPr>
        <w:t>, nr. 1.</w:t>
      </w:r>
    </w:p>
  </w:footnote>
  <w:footnote w:id="20">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Ef 2,4-5.</w:t>
      </w:r>
    </w:p>
  </w:footnote>
  <w:footnote w:id="21">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Een klassieke definitie van genade is </w:t>
      </w:r>
      <w:r w:rsidRPr="00FE1C43">
        <w:rPr>
          <w:rFonts w:ascii="Times New Roman" w:hAnsi="Times New Roman"/>
          <w:i/>
          <w:sz w:val="20"/>
          <w:szCs w:val="20"/>
        </w:rPr>
        <w:t xml:space="preserve">gratia gratis datur: </w:t>
      </w:r>
      <w:r w:rsidRPr="00FE1C43">
        <w:rPr>
          <w:rFonts w:ascii="Times New Roman" w:hAnsi="Times New Roman"/>
          <w:sz w:val="20"/>
          <w:szCs w:val="20"/>
        </w:rPr>
        <w:t>genade wordt om niet gegeven.</w:t>
      </w:r>
    </w:p>
  </w:footnote>
  <w:footnote w:id="22">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Rom 7,19.</w:t>
      </w:r>
    </w:p>
  </w:footnote>
  <w:footnote w:id="23">
    <w:p w:rsidR="000E7E8A" w:rsidRDefault="000E7E8A" w:rsidP="00CA461E">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Joh 13,2-10. </w:t>
      </w:r>
    </w:p>
  </w:footnote>
  <w:footnote w:id="24">
    <w:p w:rsidR="000E7E8A" w:rsidRDefault="000E7E8A" w:rsidP="00CA461E">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vgl. Mt 3,13-17; Mc 1,9-11; Lc 3,21-22; Joh1, 32-34.</w:t>
      </w:r>
    </w:p>
  </w:footnote>
  <w:footnote w:id="25">
    <w:p w:rsidR="000E7E8A" w:rsidRDefault="000E7E8A" w:rsidP="00CA461E">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vgl. 1 Pt 2,9-10; Hand 2, 1-21; 10,44-47; 11,15-16. Vgl. ook prefatie 1 voor zondagen door het jaar: ‘uw uitverkoren en geheiligd volk – koningen en priesters worden wij genoemd. Uw grote daden God verkondigen wij overal…’</w:t>
      </w:r>
    </w:p>
  </w:footnote>
  <w:footnote w:id="26">
    <w:p w:rsidR="000E7E8A" w:rsidRDefault="000E7E8A" w:rsidP="00CA461E">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w:t>
      </w:r>
      <w:r w:rsidRPr="00FE1C43">
        <w:rPr>
          <w:rFonts w:ascii="Times New Roman" w:hAnsi="Times New Roman"/>
          <w:sz w:val="20"/>
          <w:szCs w:val="20"/>
          <w:lang w:val="nl"/>
        </w:rPr>
        <w:t>Christengelovigen zijn zij die door het doopsel in Christus ingelijfd, tot volk van God gemaakt en aldus aan de priesterlijke, profetische en koninklijke taak van Christus op hun wijze deelachtig, ieder volgens zijn eigen plaats, geroepen worden de zending uit te voeren die God aan de kerk ter vervulling in de wereld heeft toevertrouwd.’</w:t>
      </w:r>
      <w:r w:rsidRPr="00FE1C43">
        <w:rPr>
          <w:rFonts w:ascii="Times New Roman" w:hAnsi="Times New Roman"/>
          <w:sz w:val="20"/>
          <w:szCs w:val="20"/>
        </w:rPr>
        <w:t xml:space="preserve"> Canon 204</w:t>
      </w:r>
      <w:r w:rsidRPr="00FE1C43">
        <w:rPr>
          <w:rFonts w:ascii="Times New Roman" w:hAnsi="Times New Roman"/>
          <w:sz w:val="20"/>
          <w:szCs w:val="20"/>
          <w:lang w:val="nl"/>
        </w:rPr>
        <w:t>.</w:t>
      </w:r>
    </w:p>
  </w:footnote>
  <w:footnote w:id="27">
    <w:p w:rsidR="000E7E8A" w:rsidRDefault="000E7E8A" w:rsidP="00CA461E">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Vgl. 1 Kor 6,19.</w:t>
      </w:r>
    </w:p>
  </w:footnote>
  <w:footnote w:id="28">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Vgl. Mt 22,34-40; Mc 12,28-34; Lc 10,25-38; vgl. ook Mt 25,31-46.</w:t>
      </w:r>
    </w:p>
  </w:footnote>
  <w:footnote w:id="29">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Mt 13,55-57; Mc 6,3; Lc 4,22.28-29.</w:t>
      </w:r>
    </w:p>
  </w:footnote>
  <w:footnote w:id="30">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Joh. 1,12-13.</w:t>
      </w:r>
    </w:p>
  </w:footnote>
  <w:footnote w:id="31">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2Pt 1,4.</w:t>
      </w:r>
    </w:p>
  </w:footnote>
  <w:footnote w:id="32">
    <w:p w:rsidR="000E7E8A" w:rsidRDefault="000E7E8A">
      <w:pPr>
        <w:pStyle w:val="FootnoteText"/>
      </w:pPr>
      <w:r w:rsidRPr="00A97634">
        <w:rPr>
          <w:rStyle w:val="FootnoteReference"/>
          <w:sz w:val="20"/>
          <w:szCs w:val="20"/>
        </w:rPr>
        <w:footnoteRef/>
      </w:r>
      <w:r w:rsidRPr="00A97634">
        <w:rPr>
          <w:sz w:val="20"/>
          <w:szCs w:val="20"/>
        </w:rPr>
        <w:t xml:space="preserve"> </w:t>
      </w:r>
      <w:r w:rsidRPr="00F171DD">
        <w:rPr>
          <w:rFonts w:ascii="Times New Roman" w:hAnsi="Times New Roman"/>
          <w:sz w:val="20"/>
          <w:szCs w:val="20"/>
        </w:rPr>
        <w:t>Vgl. Athanasius</w:t>
      </w:r>
      <w:r>
        <w:rPr>
          <w:rFonts w:ascii="Times New Roman" w:hAnsi="Times New Roman"/>
          <w:sz w:val="20"/>
          <w:szCs w:val="20"/>
        </w:rPr>
        <w:t>,</w:t>
      </w:r>
      <w:r w:rsidRPr="00F171DD">
        <w:rPr>
          <w:rFonts w:ascii="Times New Roman" w:hAnsi="Times New Roman"/>
          <w:sz w:val="20"/>
          <w:szCs w:val="20"/>
        </w:rPr>
        <w:t xml:space="preserve"> </w:t>
      </w:r>
      <w:r w:rsidRPr="00A97634">
        <w:rPr>
          <w:rFonts w:ascii="Times New Roman" w:hAnsi="Times New Roman"/>
          <w:i/>
          <w:sz w:val="20"/>
          <w:szCs w:val="20"/>
        </w:rPr>
        <w:t>Incarn</w:t>
      </w:r>
      <w:r w:rsidRPr="00F171DD">
        <w:rPr>
          <w:rFonts w:ascii="Times New Roman" w:hAnsi="Times New Roman"/>
          <w:sz w:val="20"/>
          <w:szCs w:val="20"/>
        </w:rPr>
        <w:t xml:space="preserve">. 54,3 </w:t>
      </w:r>
      <w:r w:rsidRPr="00F171DD">
        <w:rPr>
          <w:rFonts w:ascii="Times New Roman" w:hAnsi="Times New Roman"/>
          <w:i/>
          <w:iCs/>
          <w:sz w:val="20"/>
          <w:szCs w:val="20"/>
          <w:lang w:val="en-US"/>
        </w:rPr>
        <w:t>Orationes contra Arianos</w:t>
      </w:r>
      <w:r w:rsidRPr="00F171DD">
        <w:rPr>
          <w:rFonts w:ascii="Times New Roman" w:hAnsi="Times New Roman"/>
          <w:sz w:val="20"/>
          <w:szCs w:val="20"/>
        </w:rPr>
        <w:t xml:space="preserve"> 1, 39; en 3, 34; vgl </w:t>
      </w:r>
      <w:r w:rsidRPr="00F171DD">
        <w:rPr>
          <w:rFonts w:ascii="Times New Roman" w:hAnsi="Times New Roman"/>
          <w:i/>
          <w:sz w:val="20"/>
          <w:szCs w:val="20"/>
        </w:rPr>
        <w:t>Katechismus van de Katholieke Kerk</w:t>
      </w:r>
      <w:r w:rsidRPr="00F171DD">
        <w:rPr>
          <w:rFonts w:ascii="Times New Roman" w:hAnsi="Times New Roman"/>
          <w:sz w:val="20"/>
          <w:szCs w:val="20"/>
        </w:rPr>
        <w:t xml:space="preserve"> par. 460</w:t>
      </w:r>
      <w:r>
        <w:rPr>
          <w:rFonts w:ascii="Times New Roman" w:hAnsi="Times New Roman"/>
          <w:sz w:val="20"/>
          <w:szCs w:val="20"/>
        </w:rPr>
        <w:t>.</w:t>
      </w:r>
    </w:p>
  </w:footnote>
  <w:footnote w:id="33">
    <w:p w:rsidR="000E7E8A" w:rsidRDefault="000E7E8A" w:rsidP="006F2700">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w:t>
      </w:r>
      <w:r w:rsidRPr="001332A4">
        <w:rPr>
          <w:rFonts w:ascii="Times New Roman" w:hAnsi="Times New Roman"/>
          <w:sz w:val="20"/>
          <w:szCs w:val="20"/>
        </w:rPr>
        <w:t xml:space="preserve">vgl. </w:t>
      </w:r>
      <w:r>
        <w:rPr>
          <w:rFonts w:ascii="Times New Roman" w:hAnsi="Times New Roman"/>
          <w:sz w:val="20"/>
          <w:szCs w:val="20"/>
        </w:rPr>
        <w:t xml:space="preserve">ook </w:t>
      </w:r>
      <w:r w:rsidRPr="001332A4">
        <w:rPr>
          <w:rFonts w:ascii="Times New Roman" w:hAnsi="Times New Roman"/>
          <w:sz w:val="20"/>
          <w:szCs w:val="20"/>
        </w:rPr>
        <w:t>het openingsgebed van de dagmis van Kerstmis</w:t>
      </w:r>
      <w:r>
        <w:rPr>
          <w:rFonts w:ascii="Times New Roman" w:hAnsi="Times New Roman"/>
          <w:sz w:val="20"/>
          <w:szCs w:val="20"/>
        </w:rPr>
        <w:t xml:space="preserve"> en</w:t>
      </w:r>
      <w:r w:rsidRPr="00DC16C5">
        <w:rPr>
          <w:rFonts w:ascii="Times New Roman" w:hAnsi="Times New Roman"/>
          <w:sz w:val="20"/>
          <w:szCs w:val="20"/>
        </w:rPr>
        <w:t xml:space="preserve"> </w:t>
      </w:r>
      <w:r w:rsidRPr="001332A4">
        <w:rPr>
          <w:rFonts w:ascii="Times New Roman" w:hAnsi="Times New Roman"/>
          <w:sz w:val="20"/>
          <w:szCs w:val="20"/>
        </w:rPr>
        <w:t>prefatie 3 van Kerstmis</w:t>
      </w:r>
      <w:r>
        <w:rPr>
          <w:rFonts w:ascii="Times New Roman" w:hAnsi="Times New Roman"/>
          <w:sz w:val="20"/>
          <w:szCs w:val="20"/>
        </w:rPr>
        <w:t xml:space="preserve">. </w:t>
      </w:r>
    </w:p>
  </w:footnote>
  <w:footnote w:id="34">
    <w:p w:rsidR="000E7E8A" w:rsidRDefault="000E7E8A">
      <w:pPr>
        <w:pStyle w:val="FootnoteText"/>
      </w:pPr>
      <w:r w:rsidRPr="00780802">
        <w:rPr>
          <w:rStyle w:val="FootnoteReference"/>
          <w:rFonts w:ascii="Times New Roman" w:hAnsi="Times New Roman"/>
          <w:sz w:val="20"/>
          <w:szCs w:val="20"/>
        </w:rPr>
        <w:footnoteRef/>
      </w:r>
      <w:r w:rsidRPr="00780802">
        <w:rPr>
          <w:rFonts w:ascii="Times New Roman" w:hAnsi="Times New Roman"/>
          <w:sz w:val="20"/>
          <w:szCs w:val="20"/>
        </w:rPr>
        <w:t xml:space="preserve"> Vgl. Gal 4,6; Rom 8,15; Mt 11,25-27;Lc 10,21-22;11,1-4</w:t>
      </w:r>
    </w:p>
  </w:footnote>
  <w:footnote w:id="35">
    <w:p w:rsidR="000E7E8A" w:rsidRDefault="000E7E8A">
      <w:pPr>
        <w:pStyle w:val="FootnoteText"/>
      </w:pPr>
      <w:r w:rsidRPr="00FE1C43">
        <w:rPr>
          <w:rStyle w:val="FootnoteReference"/>
          <w:rFonts w:ascii="Times New Roman" w:hAnsi="Times New Roman"/>
          <w:sz w:val="20"/>
          <w:szCs w:val="20"/>
        </w:rPr>
        <w:footnoteRef/>
      </w:r>
      <w:r w:rsidRPr="00FE1C43">
        <w:rPr>
          <w:rFonts w:ascii="Times New Roman" w:hAnsi="Times New Roman"/>
          <w:sz w:val="20"/>
          <w:szCs w:val="20"/>
        </w:rPr>
        <w:t xml:space="preserve"> Joh 20,24-29.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242"/>
    <w:rsid w:val="000033E5"/>
    <w:rsid w:val="0004654E"/>
    <w:rsid w:val="000532A6"/>
    <w:rsid w:val="0005493C"/>
    <w:rsid w:val="00077FDB"/>
    <w:rsid w:val="00090C47"/>
    <w:rsid w:val="000B1F1D"/>
    <w:rsid w:val="000B5EAE"/>
    <w:rsid w:val="000C3CBF"/>
    <w:rsid w:val="000E4814"/>
    <w:rsid w:val="000E6E27"/>
    <w:rsid w:val="000E7E8A"/>
    <w:rsid w:val="000F0667"/>
    <w:rsid w:val="000F57D2"/>
    <w:rsid w:val="0011134B"/>
    <w:rsid w:val="001332A4"/>
    <w:rsid w:val="00136ABE"/>
    <w:rsid w:val="001545FA"/>
    <w:rsid w:val="001607D9"/>
    <w:rsid w:val="0017069E"/>
    <w:rsid w:val="0017100B"/>
    <w:rsid w:val="00177FDD"/>
    <w:rsid w:val="00194BB6"/>
    <w:rsid w:val="001B394F"/>
    <w:rsid w:val="001F304F"/>
    <w:rsid w:val="00204F16"/>
    <w:rsid w:val="00205DD0"/>
    <w:rsid w:val="00213061"/>
    <w:rsid w:val="002155DB"/>
    <w:rsid w:val="00227E0A"/>
    <w:rsid w:val="00240F3D"/>
    <w:rsid w:val="00246EDA"/>
    <w:rsid w:val="00253832"/>
    <w:rsid w:val="00294440"/>
    <w:rsid w:val="00296906"/>
    <w:rsid w:val="002A1444"/>
    <w:rsid w:val="002B2306"/>
    <w:rsid w:val="002B5B95"/>
    <w:rsid w:val="002C75AC"/>
    <w:rsid w:val="002E7004"/>
    <w:rsid w:val="003073B3"/>
    <w:rsid w:val="003115DB"/>
    <w:rsid w:val="0034245B"/>
    <w:rsid w:val="00347F1A"/>
    <w:rsid w:val="003668C9"/>
    <w:rsid w:val="00371FC0"/>
    <w:rsid w:val="0039676E"/>
    <w:rsid w:val="003A20DB"/>
    <w:rsid w:val="003A474C"/>
    <w:rsid w:val="003A63BE"/>
    <w:rsid w:val="003B6F0C"/>
    <w:rsid w:val="003B7047"/>
    <w:rsid w:val="003D5320"/>
    <w:rsid w:val="003F5056"/>
    <w:rsid w:val="00411F11"/>
    <w:rsid w:val="004719CB"/>
    <w:rsid w:val="004726A9"/>
    <w:rsid w:val="0047325D"/>
    <w:rsid w:val="004813A0"/>
    <w:rsid w:val="00485FD3"/>
    <w:rsid w:val="004A307F"/>
    <w:rsid w:val="004A7293"/>
    <w:rsid w:val="004B3BBB"/>
    <w:rsid w:val="004C77A8"/>
    <w:rsid w:val="004F3DA3"/>
    <w:rsid w:val="00512113"/>
    <w:rsid w:val="00556DBB"/>
    <w:rsid w:val="00561871"/>
    <w:rsid w:val="005671EB"/>
    <w:rsid w:val="00570FE1"/>
    <w:rsid w:val="005842B4"/>
    <w:rsid w:val="0058791A"/>
    <w:rsid w:val="00593C41"/>
    <w:rsid w:val="005C7C34"/>
    <w:rsid w:val="005F2427"/>
    <w:rsid w:val="00615242"/>
    <w:rsid w:val="006B30B2"/>
    <w:rsid w:val="006D1869"/>
    <w:rsid w:val="006D7E28"/>
    <w:rsid w:val="006F2700"/>
    <w:rsid w:val="007075D9"/>
    <w:rsid w:val="00743299"/>
    <w:rsid w:val="00745CE8"/>
    <w:rsid w:val="00777AA9"/>
    <w:rsid w:val="00780802"/>
    <w:rsid w:val="00781262"/>
    <w:rsid w:val="00792018"/>
    <w:rsid w:val="007A5707"/>
    <w:rsid w:val="007C3A53"/>
    <w:rsid w:val="007D2F1D"/>
    <w:rsid w:val="00806224"/>
    <w:rsid w:val="00813FE1"/>
    <w:rsid w:val="00826143"/>
    <w:rsid w:val="00834E94"/>
    <w:rsid w:val="008375D4"/>
    <w:rsid w:val="008376C6"/>
    <w:rsid w:val="00837C42"/>
    <w:rsid w:val="00852211"/>
    <w:rsid w:val="00852A5A"/>
    <w:rsid w:val="008577E0"/>
    <w:rsid w:val="008622E6"/>
    <w:rsid w:val="00862FC3"/>
    <w:rsid w:val="00863134"/>
    <w:rsid w:val="008C0F5C"/>
    <w:rsid w:val="008E0641"/>
    <w:rsid w:val="00941F7D"/>
    <w:rsid w:val="00953198"/>
    <w:rsid w:val="00971514"/>
    <w:rsid w:val="00971F68"/>
    <w:rsid w:val="00976691"/>
    <w:rsid w:val="00995708"/>
    <w:rsid w:val="00995C12"/>
    <w:rsid w:val="009C26CA"/>
    <w:rsid w:val="009F42BF"/>
    <w:rsid w:val="009F64AA"/>
    <w:rsid w:val="00A134A3"/>
    <w:rsid w:val="00A235AD"/>
    <w:rsid w:val="00A2649D"/>
    <w:rsid w:val="00A36099"/>
    <w:rsid w:val="00A54CC4"/>
    <w:rsid w:val="00A57E8A"/>
    <w:rsid w:val="00A829F0"/>
    <w:rsid w:val="00A97634"/>
    <w:rsid w:val="00AB740B"/>
    <w:rsid w:val="00AE68D7"/>
    <w:rsid w:val="00AF7A7B"/>
    <w:rsid w:val="00B12513"/>
    <w:rsid w:val="00B14A78"/>
    <w:rsid w:val="00B21F55"/>
    <w:rsid w:val="00B2792E"/>
    <w:rsid w:val="00B40046"/>
    <w:rsid w:val="00B666FE"/>
    <w:rsid w:val="00B80D39"/>
    <w:rsid w:val="00B9711F"/>
    <w:rsid w:val="00BA3A5D"/>
    <w:rsid w:val="00BB0890"/>
    <w:rsid w:val="00BB6FA0"/>
    <w:rsid w:val="00BD4B5F"/>
    <w:rsid w:val="00BF5F78"/>
    <w:rsid w:val="00C1471D"/>
    <w:rsid w:val="00C20667"/>
    <w:rsid w:val="00C57D2B"/>
    <w:rsid w:val="00C61EA7"/>
    <w:rsid w:val="00C62387"/>
    <w:rsid w:val="00C67E14"/>
    <w:rsid w:val="00C81A8C"/>
    <w:rsid w:val="00C86E5A"/>
    <w:rsid w:val="00C902BA"/>
    <w:rsid w:val="00C9745D"/>
    <w:rsid w:val="00CA3ECB"/>
    <w:rsid w:val="00CA461E"/>
    <w:rsid w:val="00D15931"/>
    <w:rsid w:val="00D3263A"/>
    <w:rsid w:val="00D348AA"/>
    <w:rsid w:val="00D5408C"/>
    <w:rsid w:val="00D574A3"/>
    <w:rsid w:val="00D706CE"/>
    <w:rsid w:val="00D81B77"/>
    <w:rsid w:val="00D854FF"/>
    <w:rsid w:val="00D91622"/>
    <w:rsid w:val="00D924B2"/>
    <w:rsid w:val="00DA3361"/>
    <w:rsid w:val="00DC16C5"/>
    <w:rsid w:val="00DF25C4"/>
    <w:rsid w:val="00DF7601"/>
    <w:rsid w:val="00E01CBE"/>
    <w:rsid w:val="00E028AC"/>
    <w:rsid w:val="00E05D28"/>
    <w:rsid w:val="00E461F1"/>
    <w:rsid w:val="00E507A9"/>
    <w:rsid w:val="00E83540"/>
    <w:rsid w:val="00ED25D5"/>
    <w:rsid w:val="00EF29BA"/>
    <w:rsid w:val="00F14F73"/>
    <w:rsid w:val="00F1631A"/>
    <w:rsid w:val="00F16C46"/>
    <w:rsid w:val="00F171DD"/>
    <w:rsid w:val="00F2458A"/>
    <w:rsid w:val="00F47EA2"/>
    <w:rsid w:val="00F65707"/>
    <w:rsid w:val="00F720DE"/>
    <w:rsid w:val="00F75310"/>
    <w:rsid w:val="00F75B2F"/>
    <w:rsid w:val="00FA0054"/>
    <w:rsid w:val="00FA4E3F"/>
    <w:rsid w:val="00FE1C43"/>
    <w:rsid w:val="00FE513C"/>
    <w:rsid w:val="00FF64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A2"/>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48AA"/>
    <w:pPr>
      <w:tabs>
        <w:tab w:val="center" w:pos="4320"/>
        <w:tab w:val="right" w:pos="8640"/>
      </w:tabs>
    </w:pPr>
  </w:style>
  <w:style w:type="character" w:customStyle="1" w:styleId="FooterChar">
    <w:name w:val="Footer Char"/>
    <w:basedOn w:val="DefaultParagraphFont"/>
    <w:link w:val="Footer"/>
    <w:uiPriority w:val="99"/>
    <w:locked/>
    <w:rsid w:val="00D348AA"/>
    <w:rPr>
      <w:rFonts w:cs="Times New Roman"/>
    </w:rPr>
  </w:style>
  <w:style w:type="character" w:styleId="PageNumber">
    <w:name w:val="page number"/>
    <w:basedOn w:val="DefaultParagraphFont"/>
    <w:uiPriority w:val="99"/>
    <w:rsid w:val="00BB6FA0"/>
    <w:rPr>
      <w:rFonts w:cs="Times New Roman"/>
      <w:sz w:val="16"/>
    </w:rPr>
  </w:style>
  <w:style w:type="paragraph" w:styleId="FootnoteText">
    <w:name w:val="footnote text"/>
    <w:basedOn w:val="Normal"/>
    <w:link w:val="FootnoteTextChar"/>
    <w:uiPriority w:val="99"/>
    <w:rsid w:val="004A7293"/>
  </w:style>
  <w:style w:type="character" w:customStyle="1" w:styleId="FootnoteTextChar">
    <w:name w:val="Footnote Text Char"/>
    <w:basedOn w:val="DefaultParagraphFont"/>
    <w:link w:val="FootnoteText"/>
    <w:uiPriority w:val="99"/>
    <w:locked/>
    <w:rsid w:val="004A7293"/>
    <w:rPr>
      <w:rFonts w:cs="Times New Roman"/>
    </w:rPr>
  </w:style>
  <w:style w:type="character" w:styleId="FootnoteReference">
    <w:name w:val="footnote reference"/>
    <w:basedOn w:val="DefaultParagraphFont"/>
    <w:uiPriority w:val="99"/>
    <w:rsid w:val="004A7293"/>
    <w:rPr>
      <w:rFonts w:cs="Times New Roman"/>
      <w:vertAlign w:val="superscript"/>
    </w:rPr>
  </w:style>
  <w:style w:type="paragraph" w:styleId="BodyText">
    <w:name w:val="Body Text"/>
    <w:basedOn w:val="Normal"/>
    <w:link w:val="BodyTextChar"/>
    <w:uiPriority w:val="99"/>
    <w:semiHidden/>
    <w:rsid w:val="00BD4B5F"/>
    <w:pPr>
      <w:tabs>
        <w:tab w:val="left" w:pos="-720"/>
      </w:tabs>
      <w:suppressAutoHyphens/>
      <w:jc w:val="both"/>
    </w:pPr>
    <w:rPr>
      <w:rFonts w:ascii="Palatino Linotype" w:hAnsi="Palatino Linotype"/>
      <w:spacing w:val="-3"/>
      <w:sz w:val="22"/>
      <w:lang w:val="en-US" w:eastAsia="nl-NL"/>
    </w:rPr>
  </w:style>
  <w:style w:type="character" w:customStyle="1" w:styleId="BodyTextChar">
    <w:name w:val="Body Text Char"/>
    <w:basedOn w:val="DefaultParagraphFont"/>
    <w:link w:val="BodyText"/>
    <w:uiPriority w:val="99"/>
    <w:semiHidden/>
    <w:locked/>
    <w:rsid w:val="00BD4B5F"/>
    <w:rPr>
      <w:rFonts w:ascii="Palatino Linotype" w:hAnsi="Palatino Linotype" w:cs="Times New Roman"/>
      <w:spacing w:val="-3"/>
      <w:sz w:val="22"/>
      <w:lang w:val="en-US" w:eastAsia="nl-NL"/>
    </w:rPr>
  </w:style>
  <w:style w:type="paragraph" w:styleId="BalloonText">
    <w:name w:val="Balloon Text"/>
    <w:basedOn w:val="Normal"/>
    <w:link w:val="BalloonTextChar"/>
    <w:uiPriority w:val="99"/>
    <w:semiHidden/>
    <w:rsid w:val="001F30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B77"/>
    <w:rPr>
      <w:rFonts w:ascii="Times New Roman" w:hAnsi="Times New Roman" w:cs="Times New Roman"/>
      <w:sz w:val="2"/>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8</Pages>
  <Words>4721</Words>
  <Characters>25968</Characters>
  <Application>Microsoft Office Outlook</Application>
  <DocSecurity>0</DocSecurity>
  <Lines>0</Lines>
  <Paragraphs>0</Paragraphs>
  <ScaleCrop>false</ScaleCrop>
  <Company>mooi en waar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Pasen in het Jaar van het Geloof</dc:title>
  <dc:subject/>
  <dc:creator>h.w.m. rikhof</dc:creator>
  <cp:keywords/>
  <dc:description/>
  <cp:lastModifiedBy>robbd</cp:lastModifiedBy>
  <cp:revision>5</cp:revision>
  <cp:lastPrinted>2013-02-04T14:46:00Z</cp:lastPrinted>
  <dcterms:created xsi:type="dcterms:W3CDTF">2013-02-04T14:48:00Z</dcterms:created>
  <dcterms:modified xsi:type="dcterms:W3CDTF">2013-02-05T08:59:00Z</dcterms:modified>
</cp:coreProperties>
</file>